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Rocket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001-36829</w:t>
            </w:r>
          </w:p>
        </w:tc>
        <w:tc>
          <w:tcPr>
            <w:tcW w:w="388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04-3475813</w:t>
            </w:r>
          </w:p>
        </w:tc>
      </w:tr>
      <w:tr>
        <w:trPr>
          <w:trHeight w:val="234"/>
        </w:trPr>
        <w:tc>
          <w:tcPr>
            <w:tcW w:w="44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18"/>
        </w:trPr>
        <w:tc>
          <w:tcPr>
            <w:tcW w:w="4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504"/>
        </w:trPr>
        <w:tc>
          <w:tcPr>
            <w:tcW w:w="4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9 Cedarbrook Drive, Cranbury, NJ</w:t>
            </w:r>
          </w:p>
        </w:tc>
        <w:tc>
          <w:tcPr>
            <w:tcW w:w="2940" w:type="dxa"/>
            <w:vAlign w:val="bottom"/>
          </w:tcPr>
          <w:p>
            <w:pPr>
              <w:spacing w:after="0"/>
              <w:rPr>
                <w:sz w:val="24"/>
                <w:szCs w:val="24"/>
                <w:color w:val="auto"/>
              </w:rPr>
            </w:pPr>
          </w:p>
        </w:tc>
        <w:tc>
          <w:tcPr>
            <w:tcW w:w="38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238"/>
        </w:trPr>
        <w:tc>
          <w:tcPr>
            <w:tcW w:w="4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Address of principal executive offices)</w:t>
            </w:r>
          </w:p>
        </w:tc>
        <w:tc>
          <w:tcPr>
            <w:tcW w:w="2940" w:type="dxa"/>
            <w:vAlign w:val="bottom"/>
          </w:tcPr>
          <w:p>
            <w:pPr>
              <w:spacing w:after="0"/>
              <w:rPr>
                <w:sz w:val="20"/>
                <w:szCs w:val="20"/>
                <w:color w:val="auto"/>
              </w:rPr>
            </w:pPr>
          </w:p>
        </w:tc>
        <w:tc>
          <w:tcPr>
            <w:tcW w:w="388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(646) 440-9100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310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Name of each exchange on which</w:t>
            </w:r>
          </w:p>
        </w:tc>
        <w:tc>
          <w:tcPr>
            <w:tcW w:w="0" w:type="dxa"/>
            <w:vAlign w:val="bottom"/>
          </w:tcPr>
          <w:p>
            <w:pPr>
              <w:spacing w:after="0"/>
              <w:rPr>
                <w:sz w:val="1"/>
                <w:szCs w:val="1"/>
                <w:color w:val="auto"/>
              </w:rPr>
            </w:pPr>
          </w:p>
        </w:tc>
      </w:tr>
      <w:tr>
        <w:trPr>
          <w:trHeight w:val="126"/>
        </w:trPr>
        <w:tc>
          <w:tcPr>
            <w:tcW w:w="3100" w:type="dxa"/>
            <w:vAlign w:val="bottom"/>
            <w:vMerge w:val="continue"/>
          </w:tcPr>
          <w:p>
            <w:pPr>
              <w:spacing w:after="0"/>
              <w:rPr>
                <w:sz w:val="10"/>
                <w:szCs w:val="10"/>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2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rPr>
              <w:t>registered</w:t>
            </w:r>
          </w:p>
        </w:tc>
        <w:tc>
          <w:tcPr>
            <w:tcW w:w="0" w:type="dxa"/>
            <w:vAlign w:val="bottom"/>
          </w:tcPr>
          <w:p>
            <w:pPr>
              <w:spacing w:after="0"/>
              <w:rPr>
                <w:sz w:val="1"/>
                <w:szCs w:val="1"/>
                <w:color w:val="auto"/>
              </w:rPr>
            </w:pPr>
          </w:p>
        </w:tc>
      </w:tr>
      <w:tr>
        <w:trPr>
          <w:trHeight w:val="90"/>
        </w:trPr>
        <w:tc>
          <w:tcPr>
            <w:tcW w:w="310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1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RCKT</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3, 2025, Rocket Pharmaceuticals, Inc. (“Rocket” or the “Company”) reported that it has voluntarily withdrawn its Biologics License Application (“BLA”) to the U.S. Food and Drug Administration (“FDA”) for mozafancogene autotemcel (also known as “Fanskya,” “Fanca-cel,” or “RP-L102”), an investigational gene therapy for the treatment of Fanconi Anemia (“FA”).</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This decision follows the Company’s previously announced corporate prioritization, under which Rocket is focusing its resources on programs with the clearest regulatory and commercial pathways. As a result, Rocket ceased new internal investment in RP-L102 in July 2025, subsequently withdrew its Marketing Authorization Application (“MAA”) with the European Medicines Agency in July 2025, and has now withdrawn its U.S. BLA.</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decision to withdraw the BLA is based on business and strategic considerations and does not reflect concerns regarding the safety or efficacy profile of RP-L102. Data generated to date continue to support that RP-L102 has been generally well tolerated, with no significant safety signals observed, and a risk-benefit profile that appears favorable.</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will consider external partnership opportunities that could potentially enable the advancement of RP-L102 in the future. Withdrawal of the BLA preserves Rocket’s ability to re-engage with regulators at a later date should there be an appropriate strategic or partnership pathway to sustainably progress the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for the factual statements made herein, information contained in this Current Report on Form 8-K consists of forward-looking statements within the meaning of the Private Securities Litigation Reform Act of 1995 that involve risks, uncertainties and assumptions that are difficult to predict. Words and expressions reflecting optimism, satisfaction or disappointment with current prospects or future events, as well as words such as “believes,” “intends,” “expects,” “plans” and similar expressions, or the use of future tense, identify forward-looking statements, but their absence does not mean that a statement is not forward-looking. Such forward-looking statements are not guarantees of performance and actual actions or events could differ materially from those contained in such statements. For example, there can be no assurance that the Company will enter into any external new partnerships that enable the advancement of RP-L102. Reference is also made to other factors detailed from time to time in the Company’s periodic reports filed with the Securities and Exchange Commission, including the Company’s most recent Annual Report on Form 10-K and any subsequent Quarterly Reports on Form 10-Q. The forward-looking statements contained in this Current Report on Form 8-K speak only as of the date of this Current Report on Form 8-K and the Company assumes no obligation to publicly update any forward-looking statements to reflect changes in information, events or circumstances after the date of this Current Report on Form 8-K,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229"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18"/>
          <w:szCs w:val="18"/>
          <w:color w:val="auto"/>
        </w:rPr>
        <w:t>Date: October 3, 2025</w:t>
      </w:r>
      <w:r>
        <w:rPr>
          <w:sz w:val="20"/>
          <w:szCs w:val="20"/>
          <w:color w:val="auto"/>
        </w:rPr>
        <w:tab/>
      </w:r>
      <w:r>
        <w:rPr>
          <w:rFonts w:ascii="Times New Roman" w:cs="Times New Roman" w:eastAsia="Times New Roman" w:hAnsi="Times New Roman"/>
          <w:sz w:val="18"/>
          <w:szCs w:val="18"/>
          <w:color w:val="auto"/>
        </w:rPr>
        <w:t>By: /s/ Martin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17145</wp:posOffset>
            </wp:positionV>
            <wp:extent cx="49206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0615" cy="17145"/>
                    </a:xfrm>
                    <a:prstGeom prst="rect">
                      <a:avLst/>
                    </a:prstGeom>
                    <a:noFill/>
                  </pic:spPr>
                </pic:pic>
              </a:graphicData>
            </a:graphic>
          </wp:anchor>
        </w:drawing>
      </w:r>
    </w:p>
    <w:p>
      <w:pPr>
        <w:spacing w:after="0" w:line="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Martin Wilson</w:t>
      </w:r>
    </w:p>
    <w:p>
      <w:pPr>
        <w:spacing w:after="0" w:line="2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General Counsel and Chief Corporate Officer,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40"/>
      </w:cols>
      <w:pgMar w:left="320" w:top="117"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2025-10-03T06:06:12Z</dcterms:created>
  <dcterms:modified xsi:type="dcterms:W3CDTF">2025-10-03T06:06:12Z</dcterms:modified>
</cp:coreProperties>
</file>