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184150</wp:posOffset>
            </wp:positionV>
            <wp:extent cx="1371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left="760" w:right="420"/>
        <w:spacing w:after="0" w:line="246" w:lineRule="auto"/>
        <w:rPr>
          <w:sz w:val="20"/>
          <w:szCs w:val="20"/>
          <w:color w:val="auto"/>
        </w:rPr>
      </w:pPr>
      <w:r>
        <w:rPr>
          <w:rFonts w:ascii="Times New Roman" w:cs="Times New Roman" w:eastAsia="Times New Roman" w:hAnsi="Times New Roman"/>
          <w:sz w:val="22"/>
          <w:szCs w:val="22"/>
          <w:b w:val="1"/>
          <w:bCs w:val="1"/>
          <w:color w:val="auto"/>
        </w:rPr>
        <w:t>TENDER OFFER STATEMENT UNDER SECTION 14(d)(1) OR 13(e)(1)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186055</wp:posOffset>
            </wp:positionV>
            <wp:extent cx="13716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43"/>
          <w:szCs w:val="43"/>
          <w:b w:val="1"/>
          <w:bCs w:val="1"/>
          <w:color w:val="auto"/>
        </w:rPr>
        <w:t>Rocket Pharmaceuticals, Inc.</w:t>
      </w:r>
    </w:p>
    <w:p>
      <w:pPr>
        <w:spacing w:after="0" w:line="5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(Name of Subject Company (Issuer) and Filing Person (as Offeror))</w:t>
      </w:r>
    </w:p>
    <w:p>
      <w:pPr>
        <w:spacing w:after="0" w:line="20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Options to Purchase Common Stock, par value $0.01 per share</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77313F106</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Gaurav Shah, MD</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9 Cedarbrook Drive</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Cranbury, NJ 08512</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(646) 440-9100</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1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With copies to:</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Whitney J. Smith</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Sean M. Jones</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K&amp;L Gates LLP</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599 Lexington Ave.</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536-3900</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4" w:lineRule="exact"/>
        <w:rPr>
          <w:rFonts w:ascii="Times New Roman" w:cs="Times New Roman" w:eastAsia="Times New Roman" w:hAnsi="Times New Roman"/>
          <w:sz w:val="18"/>
          <w:szCs w:val="18"/>
          <w:b w:val="1"/>
          <w:bCs w:val="1"/>
          <w:color w:val="auto"/>
        </w:rPr>
      </w:pPr>
    </w:p>
    <w:p>
      <w:pPr>
        <w:ind w:left="4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FILING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-330835</wp:posOffset>
            </wp:positionV>
            <wp:extent cx="1371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ectPr>
          <w:pgSz w:w="11900" w:h="16838" w:orient="portrait"/>
          <w:cols w:equalWidth="0" w:num="1">
            <w:col w:w="10900"/>
          </w:cols>
          <w:pgMar w:left="320" w:top="732" w:right="679" w:bottom="0" w:gutter="0" w:footer="0" w:header="0"/>
        </w:sectPr>
      </w:pPr>
    </w:p>
    <w:p>
      <w:pPr>
        <w:spacing w:after="0" w:line="29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Transaction Value (1)</w:t>
      </w:r>
    </w:p>
    <w:p>
      <w:pPr>
        <w:spacing w:after="0" w:line="1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Amount of Filing Fee (2)</w:t>
      </w:r>
    </w:p>
    <w:p>
      <w:pPr>
        <w:spacing w:after="0" w:line="12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4"/>
          <w:szCs w:val="24"/>
          <w:color w:val="auto"/>
        </w:rPr>
      </w:pPr>
    </w:p>
    <w:p>
      <w:pPr>
        <w:sectPr>
          <w:pgSz w:w="11900" w:h="16838" w:orient="portrait"/>
          <w:cols w:equalWidth="0" w:num="2">
            <w:col w:w="6760" w:space="720"/>
            <w:col w:w="3420"/>
          </w:cols>
          <w:pgMar w:left="320" w:top="732" w:right="679" w:bottom="0" w:gutter="0" w:footer="0" w:header="0"/>
          <w:type w:val="continuous"/>
        </w:sectPr>
      </w:pPr>
    </w:p>
    <w:p>
      <w:pPr>
        <w:spacing w:after="0" w:line="93" w:lineRule="exact"/>
        <w:rPr>
          <w:sz w:val="24"/>
          <w:szCs w:val="24"/>
          <w:color w:val="auto"/>
        </w:rPr>
      </w:pPr>
    </w:p>
    <w:p>
      <w:pPr>
        <w:ind w:left="220" w:right="600" w:hanging="212"/>
        <w:spacing w:after="0" w:line="282" w:lineRule="auto"/>
        <w:tabs>
          <w:tab w:leader="none" w:pos="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General Instruction D to Schedule TO, a filing fee is not required in connection with this filing as it relates solely to preliminary communications made before the commencement of a tender offer.</w:t>
      </w:r>
    </w:p>
    <w:p>
      <w:pPr>
        <w:spacing w:after="0" w:line="162" w:lineRule="exact"/>
        <w:rPr>
          <w:sz w:val="24"/>
          <w:szCs w:val="24"/>
          <w:color w:val="auto"/>
        </w:rPr>
      </w:pPr>
    </w:p>
    <w:p>
      <w:pPr>
        <w:ind w:left="220" w:hanging="212"/>
        <w:spacing w:after="0" w:line="282" w:lineRule="auto"/>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62" w:lineRule="exact"/>
        <w:rPr>
          <w:sz w:val="24"/>
          <w:szCs w:val="24"/>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Amount Previously Paid: Not applicable.</w:t>
      </w:r>
      <w:r>
        <w:rPr>
          <w:sz w:val="20"/>
          <w:szCs w:val="20"/>
          <w:color w:val="auto"/>
        </w:rPr>
        <w:tab/>
      </w:r>
      <w:r>
        <w:rPr>
          <w:rFonts w:ascii="Times New Roman" w:cs="Times New Roman" w:eastAsia="Times New Roman" w:hAnsi="Times New Roman"/>
          <w:sz w:val="18"/>
          <w:szCs w:val="18"/>
          <w:color w:val="auto"/>
        </w:rPr>
        <w:t>Filing Party: Not applicable.</w:t>
      </w:r>
    </w:p>
    <w:p>
      <w:pPr>
        <w:spacing w:after="0" w:line="27" w:lineRule="exact"/>
        <w:rPr>
          <w:sz w:val="24"/>
          <w:szCs w:val="24"/>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Form or Registration No.: Not applicable.</w:t>
      </w:r>
      <w:r>
        <w:rPr>
          <w:sz w:val="20"/>
          <w:szCs w:val="20"/>
          <w:color w:val="auto"/>
        </w:rPr>
        <w:tab/>
      </w:r>
      <w:r>
        <w:rPr>
          <w:rFonts w:ascii="Times New Roman" w:cs="Times New Roman" w:eastAsia="Times New Roman" w:hAnsi="Times New Roman"/>
          <w:sz w:val="18"/>
          <w:szCs w:val="18"/>
          <w:color w:val="auto"/>
        </w:rPr>
        <w:t>Date Filed: Not applicable.</w:t>
      </w:r>
    </w:p>
    <w:p>
      <w:pPr>
        <w:spacing w:after="0" w:line="207" w:lineRule="exact"/>
        <w:rPr>
          <w:sz w:val="24"/>
          <w:szCs w:val="24"/>
          <w:color w:val="auto"/>
        </w:rPr>
      </w:pPr>
    </w:p>
    <w:p>
      <w:pPr>
        <w:ind w:right="1860" w:firstLine="8"/>
        <w:spacing w:after="0" w:line="477" w:lineRule="auto"/>
        <w:tabs>
          <w:tab w:leader="none" w:pos="216"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sz w:val="24"/>
          <w:szCs w:val="24"/>
          <w:color w:val="auto"/>
        </w:rPr>
      </w:pPr>
    </w:p>
    <w:p>
      <w:pPr>
        <w:ind w:right="7380" w:firstLine="8"/>
        <w:spacing w:after="0" w:line="226" w:lineRule="exact"/>
        <w:tabs>
          <w:tab w:leader="none" w:pos="216"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6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ectPr>
          <w:pgSz w:w="11900" w:h="16838" w:orient="portrait"/>
          <w:cols w:equalWidth="0" w:num="1">
            <w:col w:w="10900"/>
          </w:cols>
          <w:pgMar w:left="320" w:top="732" w:right="679" w:bottom="0" w:gutter="0" w:footer="0" w:header="0"/>
          <w:type w:val="continuous"/>
        </w:sectPr>
      </w:pPr>
    </w:p>
    <w:bookmarkStart w:id="1" w:name="page2"/>
    <w:bookmarkEnd w:id="1"/>
    <w:p>
      <w:pPr>
        <w:spacing w:after="0"/>
        <w:tabs>
          <w:tab w:leader="none" w:pos="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240"/>
        <w:spacing w:after="0" w:line="258" w:lineRule="auto"/>
        <w:rPr>
          <w:sz w:val="20"/>
          <w:szCs w:val="20"/>
          <w:color w:val="auto"/>
        </w:rPr>
      </w:pPr>
      <w:r>
        <w:rPr>
          <w:rFonts w:ascii="Times New Roman" w:cs="Times New Roman" w:eastAsia="Times New Roman" w:hAnsi="Times New Roman"/>
          <w:sz w:val="18"/>
          <w:szCs w:val="18"/>
          <w:color w:val="auto"/>
        </w:rPr>
        <w:t>Attached as Exhibit 99.1 hereto is a communication (the “Employee Communication”) sent by the Company’s Chief Corporate Officer and General Counsel, on April 1, 2026 to Company employees regarding a proposed stock option exchange program (“Exchange Program”) that would allow current employees of the Company who are not executive officers at the EVP-level or above to exchange certain stock options having a per-share exercise price that is equal to or higher than the trading price of the Company’s common stock, as of the date immediately prior to the date the Exchange Program is commenced, for new stock options on an approximately value-neutral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Employee Communication does not constitute an offer to holders of the Company’s outstanding stock options to exchange those options.</w:t>
      </w:r>
    </w:p>
    <w:p>
      <w:pPr>
        <w:spacing w:after="0" w:line="225"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Exchange Program has not yet commenced. The Company may decide not to implement the Exchange Program. The Company will file a Tender Offer Statement on Schedule TO with the Securities and Exchange Commission (the “SEC”) if and when the Exchange Program commences. Option holders should read the Tender Offer Statement on Schedule TO and other related materials when those materials become available, because they will contain important information about the Exchange Program.</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shareholders and option holders will be able to obtain the written materials described above and the other documents filed by the Company with the SEC free of charge from the SEC’s website at www.sec.gov or by directing a written request to: Corporate Secretary, at 9 Cedarbrook Drive, Cranbury, NJ 08512.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25" w:lineRule="exact"/>
        <w:rPr>
          <w:sz w:val="20"/>
          <w:szCs w:val="20"/>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Email from the Company’s Chief Corporate Officer and General Counsel to employees, sent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00000"/>
        </w:rPr>
        <w:t>Employee Email: Stock Option Exchange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Communications (on behalf of Martin)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BCC</w:t>
      </w:r>
      <w:r>
        <w:rPr>
          <w:rFonts w:ascii="Times New Roman" w:cs="Times New Roman" w:eastAsia="Times New Roman" w:hAnsi="Times New Roman"/>
          <w:sz w:val="18"/>
          <w:szCs w:val="18"/>
          <w:color w:val="auto"/>
        </w:rPr>
        <w:t>: All Rocket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Subject</w:t>
      </w:r>
      <w:r>
        <w:rPr>
          <w:rFonts w:ascii="Times New Roman" w:cs="Times New Roman" w:eastAsia="Times New Roman" w:hAnsi="Times New Roman"/>
          <w:sz w:val="18"/>
          <w:szCs w:val="18"/>
          <w:color w:val="auto"/>
        </w:rPr>
        <w:t>: Upcoming Stock Option Exchange Program: More Information Coming Soon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18"/>
          <w:szCs w:val="18"/>
          <w:color w:val="auto"/>
        </w:rPr>
        <w:t>: Wednesday, April 1 (at ~9:30am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1054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Rocket Team,</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Equity is a core component of our total rewards program, designed to meaningfully connect employees to Rocket’s long-term success. Market movements in our share price have resulted in some employees holding stock option grants that are currently “underwater” (shares with an exercise price above the current stock price).</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 xml:space="preserve">To address this, I’m pleased to share that Rocket has proposed a </w:t>
      </w:r>
      <w:r>
        <w:rPr>
          <w:rFonts w:ascii="Times New Roman" w:cs="Times New Roman" w:eastAsia="Times New Roman" w:hAnsi="Times New Roman"/>
          <w:sz w:val="18"/>
          <w:szCs w:val="18"/>
          <w:b w:val="1"/>
          <w:bCs w:val="1"/>
          <w:color w:val="auto"/>
        </w:rPr>
        <w:t>stock option exchange program</w:t>
      </w:r>
      <w:r>
        <w:rPr>
          <w:rFonts w:ascii="Times New Roman" w:cs="Times New Roman" w:eastAsia="Times New Roman" w:hAnsi="Times New Roman"/>
          <w:sz w:val="18"/>
          <w:szCs w:val="18"/>
          <w:color w:val="auto"/>
        </w:rPr>
        <w:t xml:space="preserve"> in our most recent proxy filing for shareholder approval at our upcoming Annual Meeting on May 20, 2026.</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approved, the program would allow eligible employees the choice of exchanging certain “underwater” stock options for new equity awards that are better aligned with today’s market conditions.</w:t>
      </w:r>
    </w:p>
    <w:p>
      <w:pPr>
        <w:spacing w:after="0" w:line="15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 xml:space="preserve">At this stage, </w:t>
      </w:r>
      <w:r>
        <w:rPr>
          <w:rFonts w:ascii="Times New Roman" w:cs="Times New Roman" w:eastAsia="Times New Roman" w:hAnsi="Times New Roman"/>
          <w:sz w:val="18"/>
          <w:szCs w:val="18"/>
          <w:b w:val="1"/>
          <w:bCs w:val="1"/>
          <w:color w:val="auto"/>
        </w:rPr>
        <w:t>no action is required</w:t>
      </w:r>
      <w:r>
        <w:rPr>
          <w:rFonts w:ascii="Times New Roman" w:cs="Times New Roman" w:eastAsia="Times New Roman" w:hAnsi="Times New Roman"/>
          <w:sz w:val="18"/>
          <w:szCs w:val="18"/>
          <w:color w:val="auto"/>
        </w:rPr>
        <w:t>. We will share full details soon, including eligibility, specific terms, timing, and how to participate, along with resources to help you make the best decision for your individual situation.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for your attention as we take intentional steps to ensure equity continues to function as an effective element of our total rewards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regards,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email is not an offer to exchange any stock options. The stock option exchange program has not yet commenced, and there can be no assurance that it will be commenced or implemented (even if it is approved by our stockholders). Rocket will file a Tender Offer Statement on Schedule TO with the Securities and Exchange Commission (SEC) if and when the stock option exchange program commences. If we commence the stock option exchange program, we will provide employees who are eligible to participate with written materials explaining the precise terms and timing of the program. You should read those materials carefully when they become available, because they will contain important information. You will also be able to obtain the tender offer statement and other documents filed by Rocket with the SEC free of charge from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this communication does not constitute a solicitation of a proxy within the meaning of Section 14 of the Securities Exchange Act of 1934, as amended, or the rules and regulations promulgated thereunder, including Regulation 14A. This communication is not a substitute for the definitive proxy statement that we will file with the SEC in connection with our upcoming annual meeting of stockholders on May 20, 2026. In connection with our annual meeting of stockholders, the Company will file a definitive proxy statement with the SEC, which Rocket stockholders are urged to read carefully as it will contain important information about Rocket and the stock option exchange program. Stockholders and other interested parties will be able to obtain the proxy statement and other documents filed by Rocket with the SEC free of charge from the SEC’s website at www.sec.gov.</w:t>
      </w:r>
    </w:p>
    <w:p>
      <w:pPr>
        <w:spacing w:after="0" w:line="18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This email and any files transmitted with it are confidential and intended solely for the use of the individual or entity to whom they are addressed. If you are not the named addressee, you should not disseminate, distribute, or copy this e-mail; any action in reliance on the contents of this information is strictly prohibited. Please notify the sender immediately by e-mail and delete this e-mail from your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48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1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2026-04-03T07:33:26Z</dcterms:created>
  <dcterms:modified xsi:type="dcterms:W3CDTF">2026-04-03T07:33:26Z</dcterms:modified>
</cp:coreProperties>
</file>