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Chaudhuri Sarbani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ROCKET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 CEDARBROOK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CRANBURY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ROCKET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RCKT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848"/>
        <w:gridCol w:w="456"/>
        <w:gridCol w:w="756"/>
        <w:gridCol w:w="1198"/>
        <w:gridCol w:w="1000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4,701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3.499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262,809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Holdings include Restricted Stock Units ("RSUs") that convert 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of common stock were sold by the Reporting Person in order to pay tax withholding obligations in connection with the vesting of 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Chief Commercial &amp; Medical Affairs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Martin Wilson, as attorney-in-fact for Sarbani Chaudhuri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4940" TargetMode="External"/><Relationship Id="rId5" Type="http://schemas.openxmlformats.org/officeDocument/2006/relationships/hyperlink" Target="http://www.sec.gov/cgi-bin/browse-edgar?action=getcompany&amp;CIK=00012818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617</Words>
  <Characters>3383</Characters>
  <CharactersWithSpaces>3929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