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Shah Gaurav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22"/>
        <w:gridCol w:w="792"/>
        <w:gridCol w:w="612"/>
        <w:gridCol w:w="342"/>
        <w:gridCol w:w="817"/>
        <w:gridCol w:w="426"/>
        <w:gridCol w:w="751"/>
        <w:gridCol w:w="1307"/>
        <w:gridCol w:w="972"/>
        <w:gridCol w:w="12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2,293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3.381</w:t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1,056,594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207,897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198,341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Gaurav D. Shah Irrevocable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Holdings include Restricted Stock Units ("RSUs") that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of common stock were sold by the Reporting Person in order to pay tax withholding obligations in connection with the vesting of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Wilson, as attorney-in-fact for Gaurav Shah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5922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3397</Characters>
  <CharactersWithSpaces>3945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