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0001662170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Militello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8923</w:t>
            </w:r>
          </w:p>
        </w:tc>
        <w:tc>
          <w:tcPr>
            <w:tcW w:w="1377" w:type="dxa"/>
            <w:tcBorders/>
            <w:vAlign w:val="center"/>
          </w:tcPr>
          <w:p>
            <w:pPr>
              <w:pStyle w:val="TableContents"/>
              <w:bidi w:val="0"/>
              <w:spacing w:before="0" w:after="283"/>
              <w:jc w:val="left"/>
              <w:rPr/>
            </w:pPr>
            <w:r>
              <w:rPr/>
              <w:t>30367.65</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09/11/2026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8923</w:t>
            </w:r>
          </w:p>
        </w:tc>
        <w:tc>
          <w:tcPr>
            <w:tcW w:w="1046" w:type="dxa"/>
            <w:tcBorders/>
            <w:vAlign w:val="center"/>
          </w:tcPr>
          <w:p>
            <w:pPr>
              <w:pStyle w:val="TableContents"/>
              <w:bidi w:val="0"/>
              <w:spacing w:before="0" w:after="283"/>
              <w:jc w:val="left"/>
              <w:rPr/>
            </w:pPr>
            <w:r>
              <w:rPr/>
              <w:t>09/09/2026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John Militello</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08/18/2026</w:t>
            </w:r>
          </w:p>
        </w:tc>
        <w:tc>
          <w:tcPr>
            <w:tcW w:w="1563" w:type="dxa"/>
            <w:tcBorders/>
            <w:vAlign w:val="center"/>
          </w:tcPr>
          <w:p>
            <w:pPr>
              <w:pStyle w:val="TableContents"/>
              <w:bidi w:val="0"/>
              <w:spacing w:before="0" w:after="283"/>
              <w:jc w:val="left"/>
              <w:rPr/>
            </w:pPr>
            <w:r>
              <w:rPr/>
              <w:t>1252</w:t>
            </w:r>
          </w:p>
        </w:tc>
        <w:tc>
          <w:tcPr>
            <w:tcW w:w="1687" w:type="dxa"/>
            <w:tcBorders/>
            <w:vAlign w:val="center"/>
          </w:tcPr>
          <w:p>
            <w:pPr>
              <w:pStyle w:val="TableContents"/>
              <w:bidi w:val="0"/>
              <w:spacing w:before="0" w:after="283"/>
              <w:jc w:val="left"/>
              <w:rPr/>
            </w:pPr>
            <w:r>
              <w:rPr/>
              <w:t>4233.51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6"/>
        <w:gridCol w:w="8449"/>
      </w:tblGrid>
      <w:tr>
        <w:trPr/>
        <w:tc>
          <w:tcPr>
            <w:tcW w:w="1756" w:type="dxa"/>
            <w:tcBorders/>
            <w:vAlign w:val="center"/>
          </w:tcPr>
          <w:p>
            <w:pPr>
              <w:pStyle w:val="TableContents"/>
              <w:bidi w:val="0"/>
              <w:spacing w:before="0" w:after="283"/>
              <w:jc w:val="left"/>
              <w:rPr/>
            </w:pPr>
            <w:r>
              <w:rPr/>
              <w:t>Remarks</w:t>
            </w:r>
          </w:p>
        </w:tc>
        <w:tc>
          <w:tcPr>
            <w:tcW w:w="844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6" w:type="dxa"/>
            <w:tcBorders/>
            <w:vAlign w:val="center"/>
          </w:tcPr>
          <w:p>
            <w:pPr>
              <w:pStyle w:val="TableContents"/>
              <w:bidi w:val="0"/>
              <w:spacing w:before="0" w:after="283"/>
              <w:jc w:val="left"/>
              <w:rPr/>
            </w:pPr>
            <w:r>
              <w:rPr/>
              <w:t>Date of Notice</w:t>
            </w:r>
          </w:p>
        </w:tc>
        <w:tc>
          <w:tcPr>
            <w:tcW w:w="8449"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6" w:type="dxa"/>
            <w:tcBorders/>
            <w:vAlign w:val="center"/>
          </w:tcPr>
          <w:p>
            <w:pPr>
              <w:pStyle w:val="TableContents"/>
              <w:bidi w:val="0"/>
              <w:spacing w:before="0" w:after="283"/>
              <w:jc w:val="left"/>
              <w:rPr/>
            </w:pPr>
            <w:r>
              <w:rPr/>
              <w:t>Signature</w:t>
            </w:r>
          </w:p>
        </w:tc>
        <w:tc>
          <w:tcPr>
            <w:tcW w:w="8449" w:type="dxa"/>
            <w:tcBorders/>
            <w:vAlign w:val="center"/>
          </w:tcPr>
          <w:p>
            <w:pPr>
              <w:pStyle w:val="TableContents"/>
              <w:bidi w:val="0"/>
              <w:spacing w:before="0" w:after="0"/>
              <w:jc w:val="left"/>
              <w:rPr/>
            </w:pPr>
            <w:r>
              <w:rPr/>
              <w:t>/s/ Joshua Schmitt, as a duly authorized representative of Fidelity Brokerage Services LLC, as attorney-in-fact for John Militello.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3251</Characters>
  <CharactersWithSpaces>3826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