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June 24, 2026</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Rocket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TextBody"/>
        <w:bidi w:val="0"/>
        <w:spacing w:before="0" w:after="0"/>
        <w:jc w:val="left"/>
        <w:rPr/>
      </w:pPr>
      <w:r>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001-36829</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04-3475813</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p>
      <w:pPr>
        <w:pStyle w:val="HorizontalLine"/>
        <w:bidi w:val="0"/>
        <w:jc w:val="left"/>
        <w:rPr/>
      </w:pPr>
      <w:r>
        <w:rPr/>
      </w:r>
    </w:p>
    <w:p>
      <w:pPr>
        <w:pStyle w:val="TextBody"/>
        <w:bidi w:val="0"/>
        <w:spacing w:before="0" w:after="0"/>
        <w:jc w:val="left"/>
        <w:rPr>
          <w:sz w:val="20"/>
        </w:rPr>
      </w:pPr>
      <w:r>
        <w:rPr>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 Cedarbrook Drive, Cranbury, NJ</w:t>
            </w:r>
          </w:p>
        </w:tc>
        <w:tc>
          <w:tcPr>
            <w:tcW w:w="60" w:type="dxa"/>
            <w:tcBorders/>
            <w:vAlign w:val="center"/>
          </w:tcPr>
          <w:p>
            <w:pPr>
              <w:pStyle w:val="TableContents"/>
              <w:bidi w:val="0"/>
              <w:spacing w:before="0" w:after="0"/>
              <w:jc w:val="left"/>
              <w:rPr>
                <w:color w:val="000000"/>
              </w:rPr>
            </w:pPr>
            <w:r>
              <w:rPr>
                <w:color w:val="000000"/>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08512</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0"/>
              <w:jc w:val="left"/>
              <w:rPr>
                <w:color w:val="000000"/>
              </w:rPr>
            </w:pPr>
            <w:r>
              <w:rPr>
                <w:color w:val="000000"/>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(609) 659-8001</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ind w:left="360" w:right="0" w:hanging="36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300" w:type="dxa"/>
        <w:jc w:val="left"/>
        <w:tblInd w:w="0" w:type="dxa"/>
        <w:tblLayout w:type="fixed"/>
        <w:tblCellMar>
          <w:top w:w="0" w:type="dxa"/>
          <w:left w:w="0" w:type="dxa"/>
          <w:bottom w:w="28" w:type="dxa"/>
          <w:right w:w="0" w:type="dxa"/>
        </w:tblCellMar>
      </w:tblPr>
      <w:tblGrid>
        <w:gridCol w:w="2600"/>
        <w:gridCol w:w="60"/>
        <w:gridCol w:w="845"/>
        <w:gridCol w:w="60"/>
        <w:gridCol w:w="2735"/>
      </w:tblGrid>
      <w:tr>
        <w:trPr/>
        <w:tc>
          <w:tcPr>
            <w:tcW w:w="260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4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Symbol(s)</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3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2600" w:type="dxa"/>
            <w:tcBorders/>
            <w:tcMar>
              <w:bottom w:w="0" w:type="dxa"/>
            </w:tcMar>
            <w:vAlign w:val="center"/>
          </w:tcPr>
          <w:p>
            <w:pPr>
              <w:pStyle w:val="TableContents"/>
              <w:bidi w:val="0"/>
              <w:spacing w:before="0" w:after="283"/>
              <w:jc w:val="center"/>
              <w:rPr>
                <w:sz w:val="20"/>
              </w:rPr>
            </w:pPr>
            <w:r>
              <w:rPr>
                <w:sz w:val="20"/>
              </w:rPr>
              <w:t>Common stock, $0.01 par value</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84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RCKT</w:t>
            </w:r>
          </w:p>
        </w:tc>
        <w:tc>
          <w:tcPr>
            <w:tcW w:w="60" w:type="dxa"/>
            <w:tcBorders/>
            <w:tcMar>
              <w:bottom w:w="0" w:type="dxa"/>
            </w:tcMar>
            <w:vAlign w:val="center"/>
          </w:tcPr>
          <w:p>
            <w:pPr>
              <w:pStyle w:val="TableContents"/>
              <w:bidi w:val="0"/>
              <w:spacing w:before="0" w:after="0"/>
              <w:jc w:val="left"/>
              <w:rPr>
                <w:color w:val="000000"/>
              </w:rPr>
            </w:pPr>
            <w:r>
              <w:rPr>
                <w:color w:val="000000"/>
              </w:rPr>
              <w:t> </w:t>
            </w:r>
          </w:p>
        </w:tc>
        <w:tc>
          <w:tcPr>
            <w:tcW w:w="2735" w:type="dxa"/>
            <w:tcBorders/>
            <w:tcMar>
              <w:bottom w:w="0" w:type="dxa"/>
            </w:tcMar>
            <w:vAlign w:val="center"/>
          </w:tcPr>
          <w:p>
            <w:pPr>
              <w:pStyle w:val="TableContents"/>
              <w:bidi w:val="0"/>
              <w:spacing w:before="0" w:after="0"/>
              <w:ind w:left="180" w:right="0" w:hanging="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6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Departure of Directors or Principal Officers; Election of Directors; Appointment of Principal Officers; Compensatory Arrangements of Certain Officers.</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June 24, 2026, John Militello informed Rocket Pharmaceuticals, Inc. (the “Company” or “Rocket”) of his resignation as VP of Finance, Senior Controller, Treasurer and Principal Accounting Officer, effective July 7, 2026, to pursue other opportunities.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June 30, 2026, Joseph Manhede, the Company’s Associate Vice President, Corporate Controller, was appointed as the Company’s Principal Accounting Officer, effective July 8, 2026.</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Mr. Manhede, age 48, has served as the Company’s Associate Vice President, Corporate Controller since April 2026.  Prior to Rocket, Mr. Manhede was the Vice President and Financial Controller for Outlook Therapeutics, a clinical-stage biopharmaceutical company, where he was responsible for leading accounting and finance functions, including financial reporting, SEC compliance, internal controls, budgeting, and strategic financial planning, as well as supporting financing transactions and corporate governance initiatives.  Prior to his time at Outlook, Mr. Manhede held senior finance and accounting positions at Amneal Pharmaceuticals, Unilife Corporation, and Celator Pharmaceuticals, Inc., where he served as Corporate Controller and played a key role in financial reporting, IPO readiness, SOX compliance, and acquisition integration. He began his career at Deloitte, where he served as an Audit Manager. Mr. Manhede is a Certified Public Accountant (CPA) and holds a Master of Business Administration from Holy Family University.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 new compensatory arrangements will be entered into with Mr. Manhede in connection with his designation as the Company’s Principal Accounting Officer. There are no family relationships between Mr. Manhede and any other director or executive officer of the Company, and no transactions involving Mr. Manhede that would require disclosure under Item 404(a) of Regulation S-K.</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40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730" w:type="dxa"/>
        <w:jc w:val="left"/>
        <w:tblInd w:w="0" w:type="dxa"/>
        <w:tblLayout w:type="fixed"/>
        <w:tblCellMar>
          <w:top w:w="0" w:type="dxa"/>
          <w:left w:w="0" w:type="dxa"/>
          <w:bottom w:w="0" w:type="dxa"/>
          <w:right w:w="0" w:type="dxa"/>
        </w:tblCellMar>
      </w:tblPr>
      <w:tblGrid>
        <w:gridCol w:w="1640"/>
        <w:gridCol w:w="320"/>
        <w:gridCol w:w="3770"/>
      </w:tblGrid>
      <w:tr>
        <w:trPr/>
        <w:tc>
          <w:tcPr>
            <w:tcW w:w="1640" w:type="dxa"/>
            <w:tcBorders/>
            <w:vAlign w:val="center"/>
          </w:tcPr>
          <w:p>
            <w:pPr>
              <w:pStyle w:val="TableContents"/>
              <w:bidi w:val="0"/>
              <w:spacing w:before="0" w:after="0"/>
              <w:jc w:val="left"/>
              <w:rPr>
                <w:color w:val="000000"/>
              </w:rPr>
            </w:pPr>
            <w:r>
              <w:rPr>
                <w:color w:val="000000"/>
              </w:rPr>
              <w:t> </w:t>
            </w:r>
          </w:p>
        </w:tc>
        <w:tc>
          <w:tcPr>
            <w:tcW w:w="4090"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Rocket Pharmaceuticals, Inc.</w:t>
            </w:r>
          </w:p>
        </w:tc>
      </w:tr>
      <w:tr>
        <w:trPr/>
        <w:tc>
          <w:tcPr>
            <w:tcW w:w="164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color w:val="000000"/>
              </w:rPr>
            </w:pPr>
            <w:r>
              <w:rPr>
                <w:color w:val="000000"/>
              </w:rPr>
              <w:t> </w:t>
            </w:r>
          </w:p>
        </w:tc>
      </w:tr>
      <w:tr>
        <w:trPr/>
        <w:tc>
          <w:tcPr>
            <w:tcW w:w="1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June 30, 2026</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77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Martin Wilson</w:t>
            </w:r>
          </w:p>
        </w:tc>
      </w:tr>
      <w:tr>
        <w:trPr/>
        <w:tc>
          <w:tcPr>
            <w:tcW w:w="164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Martin Wilson</w:t>
            </w:r>
          </w:p>
        </w:tc>
      </w:tr>
      <w:tr>
        <w:trPr/>
        <w:tc>
          <w:tcPr>
            <w:tcW w:w="1640" w:type="dxa"/>
            <w:tcBorders/>
            <w:vAlign w:val="center"/>
          </w:tcPr>
          <w:p>
            <w:pPr>
              <w:pStyle w:val="TableContents"/>
              <w:bidi w:val="0"/>
              <w:spacing w:before="0" w:after="0"/>
              <w:jc w:val="left"/>
              <w:rPr>
                <w:color w:val="000000"/>
              </w:rPr>
            </w:pPr>
            <w:r>
              <w:rPr>
                <w:color w:val="000000"/>
              </w:rPr>
              <w:t> </w:t>
            </w:r>
          </w:p>
        </w:tc>
        <w:tc>
          <w:tcPr>
            <w:tcW w:w="320" w:type="dxa"/>
            <w:tcBorders/>
            <w:vAlign w:val="center"/>
          </w:tcPr>
          <w:p>
            <w:pPr>
              <w:pStyle w:val="TableContents"/>
              <w:bidi w:val="0"/>
              <w:spacing w:before="0" w:after="0"/>
              <w:jc w:val="left"/>
              <w:rPr>
                <w:color w:val="000000"/>
              </w:rPr>
            </w:pPr>
            <w:r>
              <w:rPr>
                <w:color w:val="000000"/>
              </w:rPr>
              <w:t> </w:t>
            </w:r>
          </w:p>
        </w:tc>
        <w:tc>
          <w:tcPr>
            <w:tcW w:w="377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General Counsel and Chief Corporate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636</Words>
  <Characters>3692</Characters>
  <CharactersWithSpaces>4301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