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SOUTHWELL DAVID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ROCKET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 CEDARBROOK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CRANBURY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08512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ROCKET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RCKT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64"/>
        <w:gridCol w:w="928"/>
        <w:gridCol w:w="795"/>
        <w:gridCol w:w="616"/>
        <w:gridCol w:w="349"/>
        <w:gridCol w:w="931"/>
        <w:gridCol w:w="440"/>
        <w:gridCol w:w="608"/>
        <w:gridCol w:w="1150"/>
        <w:gridCol w:w="992"/>
        <w:gridCol w:w="12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7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6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06/18/2026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22,862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54,522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113,124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The David P. Southwell Irrevocable Trust Dtd 04/14/2024</w:t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3.35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64,860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06/18/2036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64,860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64,860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("RSUs") that convert to common stock on a one-for-one basis. The RSUs will vest in full on June 18,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option represents a right to purchase a total of 64,860 shares of the Issuer's Common Stock, all of which will become fully vested and exercisable on June 18,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Martin Wilson, as attorney-in-fact for David Southwell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51553" TargetMode="External"/><Relationship Id="rId5" Type="http://schemas.openxmlformats.org/officeDocument/2006/relationships/hyperlink" Target="http://www.sec.gov/cgi-bin/browse-edgar?action=getcompany&amp;CIK=000128189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650</Words>
  <Characters>3501</Characters>
  <CharactersWithSpaces>4078</CharactersWithSpaces>
  <Paragraphs>112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