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RODERICK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ROCKET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CEDARBROOK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CRANBURY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PHARMACEUTICALS, INC.</w:t>
              </w:r>
            </w:hyperlink>
            <w:r>
              <w:rPr/>
              <w:t xml:space="preserve"> [ </w:t>
            </w:r>
            <w:r>
              <w:rPr>
                <w:rFonts w:ascii="Times;serif" w:hAnsi="Times;serif"/>
                <w:color w:val="0000FF"/>
                <w:sz w:val="24"/>
                <w:shd w:fill="FFFFFF" w:val="clear"/>
              </w:rPr>
              <w:t>RCKT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17"/>
        <w:gridCol w:w="484"/>
        <w:gridCol w:w="602"/>
        <w:gridCol w:w="1350"/>
        <w:gridCol w:w="980"/>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27,832</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75,499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18,188,457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convert to common stock on a one-for-one basis. The RSUs will vest in full on June 18,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certain investment funds managed by RTW Investments, LP (the "Adviser"). The Reporting Person serves as the Managing Partner and Chief Investment Officer of the Adviser and is a director of the Issuer and Chairman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represents a right to purchase a total of 78,960 shares of the Issuer's Common Stock, all of which will become fully vested and exercisable on June 18,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Wilson, as attorney-in-fact for Roderick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3280" TargetMode="External"/><Relationship Id="rId5" Type="http://schemas.openxmlformats.org/officeDocument/2006/relationships/hyperlink" Target="http://www.sec.gov/cgi-bin/browse-edgar?action=getcompany&amp;CIK=0001281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3703</Characters>
  <CharactersWithSpaces>4319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