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Shah Gaurav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ROCKET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 CEDARBROOK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CRANBURY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08512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ROCKET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RCKT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33"/>
        <w:gridCol w:w="922"/>
        <w:gridCol w:w="792"/>
        <w:gridCol w:w="612"/>
        <w:gridCol w:w="342"/>
        <w:gridCol w:w="817"/>
        <w:gridCol w:w="426"/>
        <w:gridCol w:w="751"/>
        <w:gridCol w:w="1307"/>
        <w:gridCol w:w="972"/>
        <w:gridCol w:w="12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2,837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3.381</w:t>
            </w:r>
          </w:p>
        </w:tc>
        <w:tc>
          <w:tcPr>
            <w:tcW w:w="13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1,058,887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207,897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  <w:tr>
        <w:trPr/>
        <w:tc>
          <w:tcPr>
            <w:tcW w:w="20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198,341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Gaurav D. Shah Irrevocable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Holdings include Restricted Stock Units ("RSUs") that convert 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shares of common stock were sold by the Reporting Person in order to pay tax withholding obligations in connection with the vesting of RSUs.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Martin Wilson, as attorney-in-fact for Gaurav Shah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25922" TargetMode="External"/><Relationship Id="rId5" Type="http://schemas.openxmlformats.org/officeDocument/2006/relationships/hyperlink" Target="http://www.sec.gov/cgi-bin/browse-edgar?action=getcompany&amp;CIK=000128189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625</Words>
  <Characters>3397</Characters>
  <CharactersWithSpaces>3945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