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Rocket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001-36829</w:t>
            </w:r>
          </w:p>
        </w:tc>
        <w:tc>
          <w:tcPr>
            <w:tcW w:w="386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04-3475813</w:t>
            </w:r>
          </w:p>
        </w:tc>
      </w:tr>
      <w:tr>
        <w:trPr>
          <w:trHeight w:val="234"/>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17"/>
        </w:trPr>
        <w:tc>
          <w:tcPr>
            <w:tcW w:w="4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504"/>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9 Cedarbrook Drive, Cranbury, NJ</w:t>
            </w:r>
          </w:p>
        </w:tc>
        <w:tc>
          <w:tcPr>
            <w:tcW w:w="2960" w:type="dxa"/>
            <w:vAlign w:val="bottom"/>
          </w:tcPr>
          <w:p>
            <w:pPr>
              <w:spacing w:after="0"/>
              <w:rPr>
                <w:sz w:val="24"/>
                <w:szCs w:val="24"/>
                <w:color w:val="auto"/>
              </w:rPr>
            </w:pPr>
          </w:p>
        </w:tc>
        <w:tc>
          <w:tcPr>
            <w:tcW w:w="38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238"/>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Address of principal executive offices)</w:t>
            </w:r>
          </w:p>
        </w:tc>
        <w:tc>
          <w:tcPr>
            <w:tcW w:w="2960" w:type="dxa"/>
            <w:vAlign w:val="bottom"/>
          </w:tcPr>
          <w:p>
            <w:pPr>
              <w:spacing w:after="0"/>
              <w:rPr>
                <w:sz w:val="20"/>
                <w:szCs w:val="20"/>
                <w:color w:val="auto"/>
              </w:rPr>
            </w:pPr>
          </w:p>
        </w:tc>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(609) 659-8001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360" w:type="dxa"/>
            <w:vAlign w:val="bottom"/>
            <w:vMerge w:val="restart"/>
          </w:tcPr>
          <w:p>
            <w:pPr>
              <w:jc w:val="center"/>
              <w:ind w:right="9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3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Name of each exchange on which</w:t>
            </w:r>
          </w:p>
        </w:tc>
        <w:tc>
          <w:tcPr>
            <w:tcW w:w="0" w:type="dxa"/>
            <w:vAlign w:val="bottom"/>
          </w:tcPr>
          <w:p>
            <w:pPr>
              <w:spacing w:after="0"/>
              <w:rPr>
                <w:sz w:val="1"/>
                <w:szCs w:val="1"/>
                <w:color w:val="auto"/>
              </w:rPr>
            </w:pPr>
          </w:p>
        </w:tc>
      </w:tr>
      <w:tr>
        <w:trPr>
          <w:trHeight w:val="126"/>
        </w:trPr>
        <w:tc>
          <w:tcPr>
            <w:tcW w:w="3360" w:type="dxa"/>
            <w:vAlign w:val="bottom"/>
            <w:vMerge w:val="continue"/>
          </w:tcPr>
          <w:p>
            <w:pPr>
              <w:spacing w:after="0"/>
              <w:rPr>
                <w:sz w:val="10"/>
                <w:szCs w:val="10"/>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346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90"/>
        </w:trPr>
        <w:tc>
          <w:tcPr>
            <w:tcW w:w="336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RCKT</w:t>
            </w:r>
          </w:p>
        </w:tc>
        <w:tc>
          <w:tcPr>
            <w:tcW w:w="3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10, 2026, Rocket Pharmaceuticals, Inc. (the “Company”) completed the previously disclosed sale (the “Asset Sale”) of its Rare Pediatric Disease Priority Review Voucher (“PRV”) to a large pharmaceutical company. The PRV was originally issued in connection with the FDA’s approval of the Company’s biologics license application for KRESLADI™ (marnetegragene autotemcel), an autologous hematopoietic stem cell-based gene therapy indicated for the treatment of pediatric patients with severe leukocyte adhesion deficiency-I (LAD-I) due to biallelic variants in ITGB2 without an available human leukocyte antigen-matched sibling donor for allogeneic hematopoietic stem cell transplant.</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Asset Sale was completed pursuant to the terms of an asset purchase agreement, dated April 26, 2026 (the “PRV APA”). Pursuant to the PRV APA, the Company received gross proceeds of $180.0 million from the buyer upon the closing of the Asset Sale.</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PRV APA does not purport to be complete and is subject to, and qualified in its entirety, by the full text of the PRV APA, a copy of which will be filed with Company’s Quarterly Report on Form 10-Q for the quarterly period ended June 30, 2026. The representations, warranties, covenants and agreements contained in the PRV APA were made only for the purposes of the PRV APA and as of specific dates, are solely for the benefit of the parties to the PRV APA, and may be subject to limitations agreed upon by the parties, including being qualified by confidential disclosures. The representations and warranties in the PRV APA were made for the purpose of allocating contractual risk between the parties to the PRV APA instead of establishing these matters as facts. Accordingly, the representations and warranties in the PRV APA are not intended to, and do not, constitute representations and warranties to any person other than the parties to the PRV APA, including investors and security holders, and should not be relied upon as statements of factual information.</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12, 2026, the Company issued a press release announcing the closing of the Asset Sale, a copy of the which is furnished as Exhibit 99.1 hereto.</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under this Item 7.01, including Exhibit 99.1, shall not be deemed “filed” for purposes of Section 18 of the Securities Exchange Act of 1934, as amended, (the “Exchange Act”)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Rocket Pharmaceuticals, Inc. dated June 12, 2026.</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8"/>
          <w:szCs w:val="18"/>
          <w:color w:val="auto"/>
        </w:rPr>
        <w:t>By: /s/ Martin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Martin Wilson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General Counsel and Chief Corporate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17"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0309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0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Pharmaceuticals Announces Closing of Sale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Rare Pediatric Disease Priority Review Voucher for $180 Million</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CRANBURY,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12,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Rocket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RCKT), a fully integrated, commercial-stage biotechnology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advancing a sustainable pipeline of genetic therapies for rare disorders with high unmet need, today announced the closing of the sale of its Rare Pediatric Disease Priority Review Voucher (PRV) for gross proceeds of $180 million.</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Rare Pediatric Disease Priority Review Voucher was granted by the FDA in March 2026 in connection with the approval of KRESLADI™, Rocket’s gene therapy for severe leukocyte adhesion deficiency-I (LAD-I), a rare and life-threatening primary immunodeficiency.</w:t>
      </w:r>
    </w:p>
    <w:p>
      <w:pPr>
        <w:spacing w:after="0" w:line="162" w:lineRule="exact"/>
        <w:rPr>
          <w:sz w:val="20"/>
          <w:szCs w:val="20"/>
          <w:color w:val="auto"/>
        </w:rPr>
      </w:pPr>
    </w:p>
    <w:p>
      <w:pPr>
        <w:jc w:val="both"/>
        <w:ind w:right="340" w:firstLine="35"/>
        <w:spacing w:after="0" w:line="266" w:lineRule="auto"/>
        <w:rPr>
          <w:sz w:val="20"/>
          <w:szCs w:val="20"/>
          <w:color w:val="auto"/>
        </w:rPr>
      </w:pPr>
      <w:r>
        <w:rPr>
          <w:rFonts w:ascii="Times New Roman" w:cs="Times New Roman" w:eastAsia="Times New Roman" w:hAnsi="Times New Roman"/>
          <w:sz w:val="18"/>
          <w:szCs w:val="18"/>
          <w:color w:val="auto"/>
        </w:rPr>
        <w:t>As previously reported, before the PRV sale Rocket had cash, cash equivalents and investments of $144.4 million as of March 31, 2026. Following the $180 million in non-dilutive proceeds from the PRV sale, pro forma cash, cash equivalents and investments increased to approximately $322.6 million, which the Company expects to fund operations into the second quarter of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Rocket Pharmaceuticals, Inc.</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Rocket Pharmaceuticals, Inc. (NASDAQ: RCKT) is a fully integrated biotechnology company advancing gene therapies for rare and devastating cardiovascular diseases, with additional programs in hematology and immunology. Rocket’s cardiovascular pipeline includes three clinical stage programs that each target one of the major inherited cardiomyopathy subtypes: hypertrophic, arrhythmogenic, and dilated cardiomyopathies. Together these conditions represent more than 100,000 patients in the U.S. and EU. The Company’s platform is supported by proprietary AAV manufacturing capabilities, multi-year efficacy and safety data in cardiac gene therapy, and experience treating several cardiac patients across late-stage AAV programs. For more information about Rocket, please visit </w:t>
      </w:r>
      <w:r>
        <w:rPr>
          <w:rFonts w:ascii="Times New Roman" w:cs="Times New Roman" w:eastAsia="Times New Roman" w:hAnsi="Times New Roman"/>
          <w:sz w:val="18"/>
          <w:szCs w:val="18"/>
          <w:u w:val="single" w:color="auto"/>
          <w:color w:val="auto"/>
        </w:rPr>
        <w:t>www.rocketpharma.com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03095" cy="737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03095" cy="737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Rocket Cautionary Statement Regarding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concerning Rocket’s future expectations, plans and prospects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release are forward-looking statements. You should not place reliance on these forward-looking statements, which often include words such as "believe," "expect," "anticipate," "intend," "plan," "will give," "estimate," "seek," "will," "may," "suggest" or similar terms, variations of such terms or the negative of those terms. These forward-looking statements include, but are not limited to, statements concerning Rocket’s cash runway and financial position, Rocket’s planned use of proceeds from the monetization of the KRESLADI™ PRV, Rocket’s expectations of our ability to obtain additional funding to conduct our planned research and development efforts, the expected timing and data readouts of Rocket’s ongoing and planned clinical trials, the expected timing and outcome of Rocket’s regulatory interactions and planned submissions, Rocket’s plans for the advancement of its cardiovascular AAV programs and KRESLADI™, including its planned pivotal trials, and the safety, effectiveness and timing of related pre-clinical studies and clinical trials, Rocket’s ability to develop sales and marketing capabilities or enter into agreements with third parties to sell and market its product candidates and Rocket’s ability to expand its pipeline to target additional indications that are compatible with its gene therapy technologies. Although Rocket believes that the expectations reflected in the forward-looking statements are reasonable, Rocket cannot guarantee such outcomes. Actual results may differ materially from those indicated by these forward-looking statements as a result of various important factors, including, without limitation, the results of Rocket’s ongoing and planned clinical trials, Rocket’s dependence on third parties for development, manufacture, marketing, sales and distribution of product candidates, the outcome of litigation, unexpected expenditures, Rocket’s competitors’ activities, including decisions as to the timing of competing product launches, pricing and discounting, Rocket’s ability to develop, acquire and advance product candidates into, enroll a sufficient number of patients into, and successfully complete, clinical studies, Rocket’s ability to acquire additional businesses, form strategic alliances or create joint ventures and its ability to realize the benefit of such acquisitions, alliances or joint ventures, our ability to achieve the expected benefits of our portfolio prioritization and strategic restructuring, including extending our cash runway, Rocket’s ability to obtain and enforce patents to protect its product candidates, and its ability to successfully defend against unforeseen third-party infringement claims, as well as those risks more fully discussed in the section entitled "Risk Factors" in Rocket’s Annual Report on Form 10-K for the year ended December 31, 2025, filed February 26, 2026 with the SEC and subsequent filings with the SEC including our Quarterly Reports on Form 10-Q. Accordingly, you should not place undue reliance on these forward-looking statements. All such statements speak only as of the date made, and Rocket undertakes no obligation to update or revise publicly any forward-looking statements,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 Dodge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mdodge@rocketpharma.com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Giordano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media@rocketpharma.com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2026-06-12T06:12:19Z</dcterms:created>
  <dcterms:modified xsi:type="dcterms:W3CDTF">2026-06-12T06:12:19Z</dcterms:modified>
</cp:coreProperties>
</file>