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20, 2026</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Rocket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001-36829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04-3475813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Cedarbrook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659-8001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Name of each exchange</w:t>
            </w:r>
          </w:p>
        </w:tc>
      </w:tr>
      <w:tr>
        <w:trPr>
          <w:trHeight w:val="241"/>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Symbol(s)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on which registered</w:t>
            </w:r>
          </w:p>
        </w:tc>
      </w:tr>
      <w:tr>
        <w:trPr>
          <w:trHeight w:val="234"/>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RCKT</w:t>
            </w:r>
          </w:p>
        </w:tc>
        <w:tc>
          <w:tcPr>
            <w:tcW w:w="120" w:type="dxa"/>
            <w:vAlign w:val="bottom"/>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2026 Annual Meeting of Stockholders of Rocket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was held on May 20, 2026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 Annual Meeting, there were present, in person or by proxy, holders of 80,774,659 shares of common stock, or approximately 74.02% of the total outstanding shares eligible to be voted. The holders present voted on the four proposals presented at the Annual Meeting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One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Election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the election of seven directors to the Company’s Board of Directors (“Board”) by the following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2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Peter Fong, M.D.</w:t>
            </w:r>
          </w:p>
        </w:tc>
        <w:tc>
          <w:tcPr>
            <w:tcW w:w="27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62,067,824</w:t>
            </w:r>
          </w:p>
        </w:tc>
        <w:tc>
          <w:tcPr>
            <w:tcW w:w="2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1,216,320</w:t>
            </w:r>
          </w:p>
        </w:tc>
        <w:tc>
          <w:tcPr>
            <w:tcW w:w="2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Carsten Boess</w:t>
            </w:r>
          </w:p>
        </w:tc>
        <w:tc>
          <w:tcPr>
            <w:tcW w:w="27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62,711,345</w:t>
            </w:r>
          </w:p>
        </w:tc>
        <w:tc>
          <w:tcPr>
            <w:tcW w:w="2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572,799</w:t>
            </w:r>
          </w:p>
        </w:tc>
        <w:tc>
          <w:tcPr>
            <w:tcW w:w="2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Mikael Dolsten, M.D., Ph.D.</w:t>
            </w:r>
          </w:p>
        </w:tc>
        <w:tc>
          <w:tcPr>
            <w:tcW w:w="27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59,500,907</w:t>
            </w:r>
          </w:p>
        </w:tc>
        <w:tc>
          <w:tcPr>
            <w:tcW w:w="2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3,783,237</w:t>
            </w:r>
          </w:p>
        </w:tc>
        <w:tc>
          <w:tcPr>
            <w:tcW w:w="2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Fady Malik, M.D., Ph.D.</w:t>
            </w:r>
          </w:p>
        </w:tc>
        <w:tc>
          <w:tcPr>
            <w:tcW w:w="272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62,755,875</w:t>
            </w:r>
          </w:p>
        </w:tc>
        <w:tc>
          <w:tcPr>
            <w:tcW w:w="2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528,269</w:t>
            </w:r>
          </w:p>
        </w:tc>
        <w:tc>
          <w:tcPr>
            <w:tcW w:w="2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Gaurav Shah, M.D.</w:t>
            </w:r>
          </w:p>
        </w:tc>
        <w:tc>
          <w:tcPr>
            <w:tcW w:w="27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62,808,593</w:t>
            </w:r>
          </w:p>
        </w:tc>
        <w:tc>
          <w:tcPr>
            <w:tcW w:w="2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475,551</w:t>
            </w:r>
          </w:p>
        </w:tc>
        <w:tc>
          <w:tcPr>
            <w:tcW w:w="2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Southwell</w:t>
            </w:r>
          </w:p>
        </w:tc>
        <w:tc>
          <w:tcPr>
            <w:tcW w:w="27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43,172,112</w:t>
            </w:r>
          </w:p>
        </w:tc>
        <w:tc>
          <w:tcPr>
            <w:tcW w:w="2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20,112,032</w:t>
            </w:r>
          </w:p>
        </w:tc>
        <w:tc>
          <w:tcPr>
            <w:tcW w:w="2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Roderick Wong, M.D.</w:t>
            </w:r>
          </w:p>
        </w:tc>
        <w:tc>
          <w:tcPr>
            <w:tcW w:w="27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62,699,331</w:t>
            </w:r>
          </w:p>
        </w:tc>
        <w:tc>
          <w:tcPr>
            <w:tcW w:w="2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584,813</w:t>
            </w:r>
          </w:p>
        </w:tc>
        <w:tc>
          <w:tcPr>
            <w:tcW w:w="2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17,490,515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Two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Ratification of Appointment of Independent Registered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EisnerAmper LLP as the Company’s independent registered accounting firm for the fiscal year ending December 31, 2026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45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16"/>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79,195,009</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1,002,656</w:t>
            </w:r>
          </w:p>
        </w:tc>
        <w:tc>
          <w:tcPr>
            <w:tcW w:w="1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576,994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Three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Non-Binding Advisory Vote on the Compensation of the Company’s Named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 2026 Proxy Statement pursuant to Section 14A of the Exchange Act (the “2026 Proxy Statement”). The final votes were: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9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16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61,389,376</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1,671,016</w:t>
            </w: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223,752</w:t>
            </w:r>
          </w:p>
        </w:tc>
        <w:tc>
          <w:tcPr>
            <w:tcW w:w="12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17,490,515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Four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Stock Option Exchange Program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the proposed stock option exchange program as described in the 2026 Proxy Statement. The final votes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9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16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45,582,445</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17,615,213</w:t>
            </w: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86,486</w:t>
            </w:r>
          </w:p>
        </w:tc>
        <w:tc>
          <w:tcPr>
            <w:tcW w:w="12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17,490,515</w:t>
            </w:r>
          </w:p>
        </w:tc>
      </w:tr>
      <w:tr>
        <w:trPr>
          <w:trHeight w:val="399"/>
        </w:trPr>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229" w:lineRule="exact"/>
        <w:rPr>
          <w:sz w:val="20"/>
          <w:szCs w:val="20"/>
          <w:color w:val="auto"/>
        </w:rPr>
      </w:pPr>
    </w:p>
    <w:p>
      <w:pPr>
        <w:spacing w:after="0"/>
        <w:tabs>
          <w:tab w:leader="none" w:pos="4480" w:val="left"/>
          <w:tab w:leader="none" w:pos="506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Gaurav Shah,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Gaurav Shah, MD</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40"/>
      </w:cols>
      <w:pgMar w:left="320" w:top="117"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2026-05-21T05:13:52Z</dcterms:created>
  <dcterms:modified xsi:type="dcterms:W3CDTF">2026-05-21T05:13:52Z</dcterms:modified>
</cp:coreProperties>
</file>