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0002079768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Stevens Christopher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36658</w:t>
            </w:r>
          </w:p>
        </w:tc>
        <w:tc>
          <w:tcPr>
            <w:tcW w:w="1377" w:type="dxa"/>
            <w:tcBorders/>
            <w:vAlign w:val="center"/>
          </w:tcPr>
          <w:p>
            <w:pPr>
              <w:pStyle w:val="TableContents"/>
              <w:bidi w:val="0"/>
              <w:spacing w:before="0" w:after="283"/>
              <w:jc w:val="left"/>
              <w:rPr/>
            </w:pPr>
            <w:r>
              <w:rPr/>
              <w:t>128281.01</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36658</w:t>
            </w:r>
          </w:p>
        </w:tc>
        <w:tc>
          <w:tcPr>
            <w:tcW w:w="1046" w:type="dxa"/>
            <w:tcBorders/>
            <w:vAlign w:val="center"/>
          </w:tcPr>
          <w:p>
            <w:pPr>
              <w:pStyle w:val="TableContents"/>
              <w:bidi w:val="0"/>
              <w:spacing w:before="0" w:after="283"/>
              <w:jc w:val="left"/>
              <w:rPr/>
            </w:pPr>
            <w:r>
              <w:rPr/>
              <w:t>08/04/2026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Jared Cook, as a duly authorized representative of Fidelity Brokerage Services LLC, as attorney-in-fact for Christopher J. Stevens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3116</Characters>
  <CharactersWithSpaces>3670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