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ckt-20260331.htm"/>
        <w:bookmarkStart w:id="1" w:name="ksrckt20260331"/>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25" w:after="283"/>
        <w:ind w:left="29" w:right="0" w:hanging="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ind w:left="19" w:right="0" w:hanging="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2"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6"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001-36829</w:t>
      </w:r>
    </w:p>
    <w:p>
      <w:pPr>
        <w:pStyle w:val="TextBody"/>
        <w:bidi w:val="0"/>
        <w:jc w:val="center"/>
        <w:rPr>
          <w:rFonts w:ascii="Times New Roman" w:hAnsi="Times New Roman"/>
          <w:b/>
          <w:color w:val="000000"/>
          <w:sz w:val="29"/>
        </w:rPr>
      </w:pPr>
      <w:r>
        <w:rPr>
          <w:rFonts w:ascii="Times New Roman" w:hAnsi="Times New Roman"/>
          <w:b/>
          <w:color w:val="000000"/>
          <w:sz w:val="29"/>
        </w:rPr>
        <w:t>Rocket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4966"/>
        <w:gridCol w:w="314"/>
        <w:gridCol w:w="2356"/>
      </w:tblGrid>
      <w:tr>
        <w:trPr/>
        <w:tc>
          <w:tcPr>
            <w:tcW w:w="49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ind w:left="168" w:right="0" w:firstLine="168"/>
              <w:jc w:val="center"/>
              <w:rPr>
                <w:rFonts w:ascii="Times New Roman" w:hAnsi="Times New Roman"/>
                <w:b/>
                <w:color w:val="000000"/>
                <w:sz w:val="20"/>
              </w:rPr>
            </w:pPr>
            <w:r>
              <w:rPr>
                <w:rFonts w:ascii="Times New Roman" w:hAnsi="Times New Roman"/>
                <w:b/>
                <w:color w:val="000000"/>
                <w:sz w:val="20"/>
              </w:rPr>
              <w:t>04-3475813</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(I.R.S. Employer Identification No.)</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 Cedarbrook Drive, Cranbury, NJ</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08512</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p>
      <w:pPr>
        <w:pStyle w:val="TextBody"/>
        <w:bidi w:val="0"/>
        <w:jc w:val="left"/>
        <w:rPr/>
      </w:pPr>
      <w:r>
        <w:rPr/>
        <w:t> </w:t>
      </w:r>
    </w:p>
    <w:p>
      <w:pPr>
        <w:pStyle w:val="TextBody"/>
        <w:bidi w:val="0"/>
        <w:ind w:left="35" w:right="0" w:hanging="0"/>
        <w:jc w:val="center"/>
        <w:rPr>
          <w:rFonts w:ascii="Times New Roman" w:hAnsi="Times New Roman"/>
          <w:b/>
          <w:color w:val="000000"/>
          <w:sz w:val="20"/>
        </w:rPr>
      </w:pPr>
      <w:r>
        <w:rPr>
          <w:rFonts w:ascii="Times New Roman" w:hAnsi="Times New Roman"/>
          <w:b/>
          <w:color w:val="000000"/>
          <w:sz w:val="20"/>
        </w:rPr>
        <w:t>(609) 659-8001</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9475" w:type="dxa"/>
        <w:jc w:val="left"/>
        <w:tblInd w:w="0" w:type="dxa"/>
        <w:tblLayout w:type="fixed"/>
        <w:tblCellMar>
          <w:top w:w="28" w:type="dxa"/>
          <w:left w:w="28" w:type="dxa"/>
          <w:bottom w:w="28" w:type="dxa"/>
          <w:right w:w="28" w:type="dxa"/>
        </w:tblCellMar>
      </w:tblPr>
      <w:tblGrid>
        <w:gridCol w:w="3661"/>
        <w:gridCol w:w="146"/>
        <w:gridCol w:w="1696"/>
        <w:gridCol w:w="146"/>
        <w:gridCol w:w="382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RCKT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Market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60" w:after="283"/>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60" w:after="283"/>
        <w:ind w:left="0" w:right="0" w:firstLine="490"/>
        <w:jc w:val="left"/>
        <w:rPr>
          <w:rFonts w:ascii="Times New Roman" w:hAnsi="Times New Roman"/>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w:t>
      </w:r>
      <w:r>
        <w:rPr>
          <w:rFonts w:ascii="Times New Roman" w:hAnsi="Times New Roman"/>
          <w:color w:val="231F20"/>
          <w:sz w:val="20"/>
        </w:rPr>
        <w:t>“</w:t>
      </w:r>
      <w:r>
        <w:rPr>
          <w:rFonts w:ascii="Times New Roman" w:hAnsi="Times New Roman"/>
          <w:color w:val="000000"/>
          <w:sz w:val="20"/>
        </w:rPr>
        <w:t>emerging growth company</w:t>
      </w:r>
      <w:r>
        <w:rPr>
          <w:rFonts w:ascii="Times New Roman" w:hAnsi="Times New Roman"/>
          <w:color w:val="231F20"/>
          <w:sz w:val="20"/>
        </w:rPr>
        <w:t xml:space="preserve">” </w:t>
      </w:r>
      <w:r>
        <w:rPr>
          <w:rFonts w:ascii="Times New Roman" w:hAnsi="Times New Roman"/>
          <w:color w:val="000000"/>
          <w:sz w:val="20"/>
        </w:rPr>
        <w:t>in Rule 12b-2 of the Exchange Act.</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60" w:after="283"/>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60" w:after="283"/>
        <w:ind w:left="0" w:right="0" w:firstLine="490"/>
        <w:jc w:val="left"/>
        <w:rPr>
          <w:rFonts w:ascii="Times New Roman" w:hAnsi="Times New Roman"/>
          <w:color w:val="000000"/>
          <w:sz w:val="20"/>
        </w:rPr>
      </w:pPr>
      <w:r>
        <w:rPr>
          <w:rFonts w:ascii="Times New Roman" w:hAnsi="Times New Roman"/>
          <w:color w:val="000000"/>
          <w:sz w:val="20"/>
        </w:rPr>
        <w:t>As of May 1, 2026, there were 109,193,549 shares of common stock, $0.01 par value per share,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8658"/>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ummary_of_abbreviated_terms">
              <w:r>
                <w:rPr>
                  <w:rStyle w:val="InternetLink"/>
                  <w:rFonts w:ascii="Times New Roman" w:hAnsi="Times New Roman"/>
                  <w:color w:val="0000FF"/>
                  <w:sz w:val="20"/>
                  <w:u w:val="single"/>
                </w:rPr>
                <w:t>Summary of Abbreviated Terms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Cautionary Statement Regarding Forward-Looking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March 31, 2026 (unaudited) and December 31, 202</w:t>
              </w:r>
            </w:hyperlink>
            <w:r>
              <w:rPr>
                <w:rFonts w:ascii="Times New Roman" w:hAnsi="Times New Roman"/>
                <w:color w:val="0000FF"/>
                <w:sz w:val="20"/>
              </w:rPr>
              <w:t>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three months ended March 31, 2026 and 2025 (unaudited</w:t>
              </w:r>
            </w:hyperlink>
            <w:r>
              <w:rPr>
                <w:rFonts w:ascii="Times New Roman" w:hAnsi="Times New Roman"/>
                <w:color w:val="0000ED"/>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Consolidated Statements of Comprehensive Loss for the three months ended March 31, 2026 and 2025 (unaudited)</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statements_of_stockholders_equity">
              <w:r>
                <w:rPr>
                  <w:rStyle w:val="InternetLink"/>
                  <w:rFonts w:ascii="Times New Roman" w:hAnsi="Times New Roman"/>
                  <w:color w:val="0000FF"/>
                  <w:sz w:val="20"/>
                  <w:u w:val="single"/>
                </w:rPr>
                <w:t>Consolidated Statements of Stockholders’ Equity for the three months ended March 31, 2026 and 2025 (unaudited)</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Consolidated Statements of Cash Flows for the three months ended March 31, 2026 and 2025 (unaudited)</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Consolidated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5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righ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summary_of_abbreviated_terms"/>
      <w:bookmarkEnd w:id="3"/>
      <w:r>
        <w:rPr>
          <w:rFonts w:ascii="Times New Roman" w:hAnsi="Times New Roman"/>
          <w:b/>
          <w:color w:val="000000"/>
          <w:sz w:val="20"/>
        </w:rPr>
        <w:t>Summary of Abbreviated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Rocket Pharmaceuticals, Inc. may be referred to as Rocket, the Company, we, our or us, in this Quarterly Report, unless the context otherwise indicates. Throughout this Quarterly Report, we have used terms which are defined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2"/>
        <w:gridCol w:w="3791"/>
        <w:gridCol w:w="1021"/>
        <w:gridCol w:w="4021"/>
      </w:tblGrid>
      <w:tr>
        <w:trPr/>
        <w:tc>
          <w:tcPr>
            <w:tcW w:w="1372"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AAV</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Adeno-associated virus</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Intravenous</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AAV9</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Adeno-associated serotype 9</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IPR&amp;D</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process research and development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ACM</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Arrhythmogenic cardiomyopathy</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KCCQ-12</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 City Cardiovascular Questionnaire-12</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Standard Codification</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LAD-I</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Leukocyte Adhesion Deficiency-I</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ASGCT</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Society of Gene &amp; Cell Therapy</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LAMP2</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Lysosome-associated membrane protein 2</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ATMP</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Therapy Medical Product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LV</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Lentiviral vector</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BAG3</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BCL2-associated athanogene 3</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LVMI</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Left ventricular mass index</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BAG3-DCM</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BCL2-associated athanogene 3 mutations associated with dilated cardiomyopathy</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NYHA</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 Heart Association</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Biologics License Application</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PDUFA</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Prescription Drug User Fee Act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Brain natriuretic peptide</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PKD</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Pyruvate Kinase Deficiency</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Cantor</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Cantor Fitzgerald &amp; Co.</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PKP2</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Plakophilin-2</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cGMP</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Good Manufacturing Practice</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PKP2-ACM</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Plakophilin-2 Arrhythmogenic Cardiomyopathy</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cKO</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knockout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PRV</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Priority Review Voucher</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CIRM</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Institute for Regenerative Medicine</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CMC</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Chemistry Manufacturing Controls</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Priority Medicines</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CODM</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Decision Maker</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CRL</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 Response Letter</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Renovacor</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Renovacor, Inc. acquired on December 1, 2022</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CTIS</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 Information Systems</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RIF</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in workforce</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DCM</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Dilated cardiomyopathy</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RMAT</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Regenerative Medicine Advanced Therapy</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DD</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Danon Disease</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DNA</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Deoxyribonucleic acid</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RTW</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RTW Investments, L.P</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Medicines Agency</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SAE</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Serious Adverse Event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ESB Lease Agreement</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Lease agreement for office space in the Empire State Building in New York City</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SCD</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Sudden cardiac death</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and Exchange Commission</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Fanconi Anemia</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Stanford</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 for Definitive and Curative Medicine at Stanford University School of Medicine</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FDA</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Food and Drug Administration</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UCLA</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University of California, Los Angeles</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GMP</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 Manufacturing Practice</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UCLB</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UCL Business PLC</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HF</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Heart failure</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UCSD</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Regents of the University of California, San Diego</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HLA</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Leukocyte Antingen</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UPC</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Unitary Patent Court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HNJ</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Hospital Infantil de Niño Jesús</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HSCT</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Hematopoietic stem cell transplant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ICD</w:t>
            </w:r>
          </w:p>
        </w:tc>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Classification of Diseases</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Generally Accepted Accounting Principles</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w:t>
            </w:r>
          </w:p>
        </w:tc>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Investigational New Drug application</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USPTO</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Patent and Trademark Office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forward_looking_statements"/>
      <w:bookmarkEnd w:id="4"/>
      <w:r>
        <w:rPr>
          <w:rFonts w:ascii="Times New Roman" w:hAnsi="Times New Roman"/>
          <w:b/>
          <w:color w:val="000000"/>
          <w:sz w:val="20"/>
        </w:rPr>
        <w:t>Cautionary Statement Regarding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for the quarter ended March 31, 2026 contains forward-looking statements that involve risks and uncertainties, as well as assumptions that, if they do not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words such as “aim,” “anticipate,” “believe,” “can,” “contemplate,” “continue,” “could,” “design,” “develop,” “estimate,” “expect,” “expand,” “future,” “hope,” “intend,” “likely,” “may,” “plan,” “potential,” “predict,” “project,” “pursue,” “seek,” “should,” “strategy,” “target,” “will,” “would,” or the negative of these words or other comparable terminology. These forward-looking statements include, but are not limited to, statements about:</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additional funding to conduct our planned R&amp;D efforts;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meet our anticipated milestones for our various drug candidates with respect to the initiation and timing of clinical studies;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state, and non-U.S. regulatory requirements, including regulation of our current or any other future product candidates by the FDA;</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of and our ability to submit regulatory filings with the FDA and to obtain and maintain FDA or other regulatory authority approval of, or other action with respect to,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competitors’ activities, including decisions as to the timing of competing product launches, pricing, and discounting;</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whether safety and efficacy results of our clinical trials and other required tests for approval of our product candidates provide data to warrant progression of clinical trials, potential regulatory approval, or further development of any of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develop, acquire and advance product candidates into, enroll a sufficient number of patients into, and successfully complete, clinical studies, and our ability to apply for and obtain regulatory approval for such product candidates, within currently anticipated timeframes, or at all;</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establish key collaborations and vendor relationships for our product candidates and any other future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develop our sales and marketing capabilities or enter into agreements with third parties to sell and market any of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acquire additional businesses, form strategic alliances or create joint ventures and our ability to realize the benefit of such acquisitions, alliances, or joint ventures;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develop and commercialize any technology that we may in-license or products we may acquire;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development of our direct manufacturing capabilities for our AAV programs;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expand our pipeline to target additional indications that are compatible with our gene therapy technologies;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achieve the expected benefits of our portfolio prioritization and strategic restructuring, including extending our cash runway, and our estimates related to the costs and timing of implementing such initiative;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operate in non-U.S. jurisdictions in which we currently or in the future do business, including compliance with applicable regulatory requirements and laws;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enforce patents to protect our product candidates, and our ability to successfully defend ourselves against unforeseen third-party infringement claims;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estimates regarding our capital requirements;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close on the sale of our PRV pursuant to the asset purchase agreement we entered into in April 2026;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financing and raise capital as necessary to fund operations or pursue business opportunities.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incorporated by reference from our Annual Report for the year ended December 31, 2025, on Form 10-K,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This Quarterly Report contains summaries of certain provisions contained in some of the documents described herein, but reference is made to the actual documents for complete information. All of the summaries are qualified in their entirety by the actual documents.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part_1"/>
      <w:bookmarkEnd w:id="5"/>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6" w:name="item_1"/>
      <w:bookmarkEnd w:id="6"/>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7" w:name="consolidated_balance_sheets"/>
      <w:bookmarkEnd w:id="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shares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27"/>
        <w:gridCol w:w="226"/>
        <w:gridCol w:w="1067"/>
        <w:gridCol w:w="166"/>
        <w:gridCol w:w="246"/>
        <w:gridCol w:w="1159"/>
        <w:gridCol w:w="314"/>
      </w:tblGrid>
      <w:tr>
        <w:trPr/>
        <w:tc>
          <w:tcPr>
            <w:tcW w:w="70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192,734</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39,154</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 net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40,209</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330,449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Finance lease liability, current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30,206</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non-current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19,362</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Preferred stock, $0.01 par value, authorized 5,000,000 shares:</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Series A convertible preferred stock; 300,000 shares designated; 0 shares issued and outstanding</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Series B convertible preferred stock; 300,000 shares designated; 0 shares issued and outstanding</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Common stock, $0.01 par value, 180,000,000 shares authorized; 109,123,671 and 108,319,783 shares issued and outstanding as of March 31, 2026 and December 31, 2025, respectively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1,717,408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(1,441,239</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277,221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330,449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22" w:right="0" w:hanging="0"/>
        <w:jc w:val="center"/>
        <w:rPr/>
      </w:pPr>
      <w:r>
        <w:rPr/>
        <w:t> </w:t>
      </w:r>
    </w:p>
    <w:p>
      <w:pPr>
        <w:pStyle w:val="TextBody"/>
        <w:bidi w:val="0"/>
        <w:ind w:left="22" w:right="0" w:hanging="0"/>
        <w:jc w:val="center"/>
        <w:rPr/>
      </w:pPr>
      <w:r>
        <w:rPr/>
        <w:t> </w:t>
      </w:r>
    </w:p>
    <w:p>
      <w:pPr>
        <w:pStyle w:val="TextBody"/>
        <w:bidi w:val="0"/>
        <w:ind w:left="22" w:right="0" w:hanging="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8" w:name="consolidated_statements_of_operations"/>
      <w:bookmarkEnd w:id="8"/>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 in thousands, except shares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622" w:type="dxa"/>
        <w:jc w:val="left"/>
        <w:tblInd w:w="0" w:type="dxa"/>
        <w:tblLayout w:type="fixed"/>
        <w:tblCellMar>
          <w:top w:w="28" w:type="dxa"/>
          <w:left w:w="28" w:type="dxa"/>
          <w:bottom w:w="28" w:type="dxa"/>
          <w:right w:w="28" w:type="dxa"/>
        </w:tblCellMar>
      </w:tblPr>
      <w:tblGrid>
        <w:gridCol w:w="5461"/>
        <w:gridCol w:w="211"/>
        <w:gridCol w:w="1141"/>
        <w:gridCol w:w="166"/>
        <w:gridCol w:w="211"/>
        <w:gridCol w:w="1141"/>
        <w:gridCol w:w="291"/>
      </w:tblGrid>
      <w:tr>
        <w:trPr/>
        <w:tc>
          <w:tcPr>
            <w:tcW w:w="5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112,134,059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110,093,461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sz w:val="20"/>
        </w:rPr>
      </w:pPr>
      <w:bookmarkStart w:id="9" w:name="statements_of_comprehensive_loss"/>
      <w:bookmarkEnd w:id="9"/>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6120" w:type="dxa"/>
        <w:jc w:val="left"/>
        <w:tblInd w:w="0" w:type="dxa"/>
        <w:tblLayout w:type="fixed"/>
        <w:tblCellMar>
          <w:top w:w="28" w:type="dxa"/>
          <w:left w:w="28" w:type="dxa"/>
          <w:bottom w:w="28" w:type="dxa"/>
          <w:right w:w="28" w:type="dxa"/>
        </w:tblCellMar>
      </w:tblPr>
      <w:tblGrid>
        <w:gridCol w:w="3041"/>
        <w:gridCol w:w="285"/>
        <w:gridCol w:w="997"/>
        <w:gridCol w:w="224"/>
        <w:gridCol w:w="285"/>
        <w:gridCol w:w="997"/>
        <w:gridCol w:w="291"/>
      </w:tblGrid>
      <w:tr>
        <w:trPr/>
        <w:tc>
          <w:tcPr>
            <w:tcW w:w="30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loss on investments</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(47,675</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10" w:name="statements_of_stockholders_equity"/>
      <w:bookmarkEnd w:id="10"/>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2026 and 2025</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8"/>
        <w:gridCol w:w="146"/>
        <w:gridCol w:w="1006"/>
        <w:gridCol w:w="146"/>
        <w:gridCol w:w="196"/>
        <w:gridCol w:w="511"/>
        <w:gridCol w:w="146"/>
        <w:gridCol w:w="196"/>
        <w:gridCol w:w="826"/>
        <w:gridCol w:w="166"/>
        <w:gridCol w:w="376"/>
        <w:gridCol w:w="840"/>
        <w:gridCol w:w="166"/>
        <w:gridCol w:w="196"/>
        <w:gridCol w:w="886"/>
        <w:gridCol w:w="166"/>
        <w:gridCol w:w="232"/>
        <w:gridCol w:w="824"/>
        <w:gridCol w:w="212"/>
      </w:tblGrid>
      <w:tr>
        <w:trPr/>
        <w:tc>
          <w:tcPr>
            <w:tcW w:w="2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277,221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comprehensive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(47,594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109,123,671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238,039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68"/>
        <w:gridCol w:w="146"/>
        <w:gridCol w:w="1006"/>
        <w:gridCol w:w="146"/>
        <w:gridCol w:w="196"/>
        <w:gridCol w:w="511"/>
        <w:gridCol w:w="146"/>
        <w:gridCol w:w="196"/>
        <w:gridCol w:w="826"/>
        <w:gridCol w:w="166"/>
        <w:gridCol w:w="439"/>
        <w:gridCol w:w="777"/>
        <w:gridCol w:w="166"/>
        <w:gridCol w:w="196"/>
        <w:gridCol w:w="886"/>
        <w:gridCol w:w="166"/>
        <w:gridCol w:w="232"/>
        <w:gridCol w:w="824"/>
        <w:gridCol w:w="212"/>
      </w:tblGrid>
      <w:tr>
        <w:trPr/>
        <w:tc>
          <w:tcPr>
            <w:tcW w:w="2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106,453,818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comprehensive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(61,334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106,753,886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(1,279,450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412,138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sz w:val="20"/>
        </w:rPr>
      </w:pPr>
      <w:bookmarkStart w:id="11" w:name="statements_of_cash_flows"/>
      <w:bookmarkEnd w:id="11"/>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31" w:type="dxa"/>
        <w:jc w:val="left"/>
        <w:tblInd w:w="0" w:type="dxa"/>
        <w:tblLayout w:type="fixed"/>
        <w:tblCellMar>
          <w:top w:w="28" w:type="dxa"/>
          <w:left w:w="28" w:type="dxa"/>
          <w:bottom w:w="28" w:type="dxa"/>
          <w:right w:w="28" w:type="dxa"/>
        </w:tblCellMar>
      </w:tblPr>
      <w:tblGrid>
        <w:gridCol w:w="6131"/>
        <w:gridCol w:w="272"/>
        <w:gridCol w:w="948"/>
        <w:gridCol w:w="213"/>
        <w:gridCol w:w="272"/>
        <w:gridCol w:w="1084"/>
        <w:gridCol w:w="511"/>
      </w:tblGrid>
      <w:tr>
        <w:trPr/>
        <w:tc>
          <w:tcPr>
            <w:tcW w:w="6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of property and equipment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finance lease right of use asset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discount on investments, net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payable and accrued expenses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Operating lease liabilities and right of use assets, net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Finance lease liability</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liabilities</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Purchases of investments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Proceeds from maturities of investments</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Finance lease liability</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164,997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purchases of property and equipment, ending balance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Rocket Pharmaceuticals, Inc.</w:t>
      </w:r>
    </w:p>
    <w:p>
      <w:pPr>
        <w:pStyle w:val="TextBody"/>
        <w:bidi w:val="0"/>
        <w:jc w:val="center"/>
        <w:rPr>
          <w:rFonts w:ascii="Times New Roman" w:hAnsi="Times New Roman"/>
          <w:b/>
          <w:color w:val="000000"/>
          <w:sz w:val="20"/>
        </w:rPr>
      </w:pPr>
      <w:bookmarkStart w:id="12" w:name="notes_to_financial_statements"/>
      <w:bookmarkEnd w:id="12"/>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shares and per share data)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Rocket Pharmaceuticals, Inc. (the “Company” or “Rocket”) is a fully integrated commercial-stage biotechnology company advancing a sustainable pipeline of genetic therapies, including one approved product and multiple investigational programs designed to correct the root cause of complex and rare disorders. Rocket’s innovative multi-platform approach allows the Company to design the optimal gene therapy for each indication, creating potential treatment options for people living with severe and rare diseases.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Rocket’s </w:t>
      </w:r>
      <w:r>
        <w:rPr>
          <w:rFonts w:ascii="Times New Roman" w:hAnsi="Times New Roman"/>
          <w:i/>
          <w:color w:val="000000"/>
          <w:sz w:val="20"/>
        </w:rPr>
        <w:t xml:space="preserve">in vivo </w:t>
      </w:r>
      <w:r>
        <w:rPr>
          <w:rFonts w:ascii="Times New Roman" w:hAnsi="Times New Roman"/>
          <w:color w:val="000000"/>
          <w:sz w:val="20"/>
        </w:rPr>
        <w:t>adeno-associated viral (AAV) vector-based cardiovascular portfolio includes a late-stage clinical program for Danon disease, a devastating heart failure condition resulting in thickening of the heart, and early-stage clinical programs for PKP2-arrhythmogenic cardiomyopathy (PKP2-ACM), a life-threatening heart failure disease causing ventricular arrhythmias and sudden cardiac death, and BAG3-associated dilated cardiomyopathy (BAG3-DCM), a heart failure condition that causes enlarged ventricles.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Rocket’s </w:t>
      </w:r>
      <w:r>
        <w:rPr>
          <w:rFonts w:ascii="Times New Roman" w:hAnsi="Times New Roman"/>
          <w:i/>
          <w:color w:val="000000"/>
          <w:sz w:val="20"/>
        </w:rPr>
        <w:t>ex vivo</w:t>
      </w:r>
      <w:r>
        <w:rPr>
          <w:rFonts w:ascii="Times New Roman" w:hAnsi="Times New Roman"/>
          <w:color w:val="000000"/>
          <w:sz w:val="20"/>
        </w:rPr>
        <w:t xml:space="preserve"> lentiviral (LV) vector-based hematology portfolio includes KRESLADI, which was granted FDA accelerated approval in March 2026 for severe Leukocyte Adhesion Deficiency-I (LAD-I), as well as additional programs for Fanconi Anemia (FA) and Pyruvate Kinase Deficiency (PKD).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and Liquidity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not generated revenue from product sales to date and has incurred losses since inception. KRESLADI was approved by the FDA in March 2026 under the accelerated approval pathway; however, the Company has not yet generated product revenue. KRESLADI was approved under the FDA’s accelerated approval pathway based on an increase in neutrophil CD18 and CD11a surface expression. Continued approval may be contingent upon verification and description of clinical benefit through ongoing clinical follow-up and additional post-marketing data collection. Operations of the Company are subject to certain risks and uncertainties, including, among others, uncertainty of drug candidate development, technological uncertainty, uncertainty regarding patents and proprietary rights, having no commercial manufacturing experience, marketing or sales capability or experience, dependency on key personnel, compliance with government regulations and the need to obtain additional financing. Drug candidates currently under development will require significant additional R&amp;D efforts, including extensive preclinical and clinical testing and regulatory approval, prior to commercialization. These efforts require significant amounts of additional capital, adequate personnel infrastructure, and extensive compliance-reporting capabilities. The commercialization of KRESLADI is subject to significant operational, logistical, and reimbursement-related risks. The delivery of autologous gene therapies requires complex coordination, including treatment center onboarding, manufacturing, and vein-to-vein logistics, which may impact the timing and scale of commercial uptake. In addition, given the ultra-rare patient population and anticipated phased commercial rollout, the Company does not expect KRESLADI to generate material revenue in the near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product candidates are in the development and clinical stage. There can be no assurance that the Company’s R&amp;D will be successfully completed, that adequate protection for the Company’s intellectual property will be obtained, that any products developed will obtain necessary government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May 2025, two patients participating in the Phase 2 pivotal study of RP-A501 each experienced an unexpected SAE. Rocket voluntarily paused further Phase 2 study dosing in the U.S. and E.U., and the FDA placed a clinical hold on the trial to allow for further evaluation, which was lifted on August 20, 2025, after the Company satisfactorily addressed issues outlined in the clinical hold.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July 2025, the Company implemented a strategic corporate reorganization designed to align its resources with its highest-priority programs, namely, the AAV-based gene therapy platform focused on cardiovascular diseases. As part of this effort, the Company reduced its workforce by approximately 30%.</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continuity of operations, realization of assets and the satisfaction of liabilities in the ordinary course of business. The Company has incurred recurring losses and negative cash flows from operations and had an accumulated deficit of $1.49 billion as of March 31, 2026. As of March 31, 2026, the Company has $144.4 million of cash, cash equivalents, and investments. In April 2026, the Company entered into an agreement to sell its Rare Pediatric Disease Priority Review Voucher (PRV) for $180 million, which is expected to provide non-dilutive capital to support advancement of the Company’s cardiovascular gene therapy pipeline and extend its operational runway. Based on the Company’s current operating plan and the expected proceeds from the PRV sale, the Company believes its existing cash, cash equivalents, investments, and anticipated PRV proceeds will be sufficient to fund operations for at least twelve months from the filing date of this Quarterly Report on Form 10-Q.</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longer term, the future viability of the Company is dependent on its ability to generate cash from operating activities or to raise additional capital to finance its operations. The Company expects to continue to generate operating losses for the foreseeable future and to finance its future cash needs through, but not limited to, one or a combination of equity offerings, debt financings, collaborations, strategic partnerships and alliances or licensing arrangements. If the Company is unable to obtain funding, the Company would be forced to delay, reduce or eliminate some or all of its R&amp;D programs, preclinical and clinical testing or commercialization efforts, which could adversely affect its business prospects. The Company’s failure to raise capital as and when needed could have a negative impact on its financial condition and ability to pursue its business strategies.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may also face challenges retaining key personnel and maintaining continuity across teams, which could impair its ability to advance clinical programs, meet regulatory milestones, or pursue long-term strategic objectives. Potential litigation or other employee-related claims arising from the workforce reduction could divert management attention and further increase costs. Any of these factors could have a material adverse effect on our business, operating results,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of Presentation, Principles of Consolidation and Summary of Significant Accounting Policies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accompanying unaudited interim consolidated financial statements should be read in conjunction with the Company’s consolidated financial statements for the year ended December 31, 2025 included in the Annual Report on Form 10-K filed with the Securities and Exchange Commission on February 26, 2026. The unaudited interim consolidated financial statements have been prepared on the same basis as the audited annual financial statements and, in the opinion of management, reflect all adjustments, which include only normal recurring adjustments, necessary for the fair statement of the Company’s consolidated financial position as of March 31, 2026 and the results of its operations and its cash flows for the three months ended March 31, 2026. The financial data and other information disclosed in these consolidated notes related to the three months ended March 31, 2026 and 2025 are unaudited. The results for the three months ended March 31, 2026 are not necessarily indicative of results to be expected for the year ending December 31, 2026 and any other interim periods or any future year or period.</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significant accounting policies used in the preparation of these consolidated financial statements for the three months ended March 31, 2026 are consistent with those disclosed in Note 3 to the consolidated financial statements in the 2025 Form 10-K with most significant policies also being listed here.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consolidated financial statements represent the consolidation of the accounts of the Company and its subsidiaries in conformity with U.S. GAAP. All intercompany accounts have been eliminated in consolidation.</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goodwill and intangible asset impairments, the accrual of R&amp;D expenses, the valuation of equity transactions, and stock-based awards. Changes in estimates and assumptions are reflected in reported results in the period in which they become known. Actual results could differ from those estimates.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Cash, Cash Equivalents and Restricted Cash</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Cash, cash equivalents and restricted cash consists of bank deposits, certificates of deposit and money market accounts with financial institutions. Cash equivalents are carried at cost which approximates fair value due to their short-term nature and which the Company believes do not have a material exposure to credit risk. The Company considers all highly liquid investments with maturities of three months or less from the date of purchase to be cash equivalents. The Company’s cash and cash equivalent accounts, at times, may exceed federally insured limits. The Company has not experienced any losses in such accounts.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Restricted cash consists of deposits collateralizing letters of credit issued by a bank in connection with the Company’s operating leases (see Note 12 “Leases” for additional disclosures) and a deposit collateralizing a letter of credit issued by a bank supporting the Company’s corporate credit cards. Cash, cash equivalents and restricted cash consist of the following:</w:t>
      </w:r>
    </w:p>
    <w:p>
      <w:pPr>
        <w:pStyle w:val="TextBody"/>
        <w:bidi w:val="0"/>
        <w:jc w:val="left"/>
        <w:rPr/>
      </w:pPr>
      <w:r>
        <w:rPr/>
        <w:t> </w:t>
      </w:r>
    </w:p>
    <w:tbl>
      <w:tblPr>
        <w:tblW w:w="7940" w:type="dxa"/>
        <w:jc w:val="left"/>
        <w:tblInd w:w="0" w:type="dxa"/>
        <w:tblLayout w:type="fixed"/>
        <w:tblCellMar>
          <w:top w:w="28" w:type="dxa"/>
          <w:left w:w="28" w:type="dxa"/>
          <w:bottom w:w="28" w:type="dxa"/>
          <w:right w:w="28" w:type="dxa"/>
        </w:tblCellMar>
      </w:tblPr>
      <w:tblGrid>
        <w:gridCol w:w="4046"/>
        <w:gridCol w:w="246"/>
        <w:gridCol w:w="342"/>
        <w:gridCol w:w="1098"/>
        <w:gridCol w:w="146"/>
        <w:gridCol w:w="146"/>
        <w:gridCol w:w="409"/>
        <w:gridCol w:w="1316"/>
        <w:gridCol w:w="191"/>
      </w:tblGrid>
      <w:tr>
        <w:trPr/>
        <w:tc>
          <w:tcPr>
            <w:tcW w:w="40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Concentrations of credit risk and off-balance sheet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Financial instruments that subject the Company to credit risk primarily consist of cash and cash equivalents and available-for-sale securities. The Company maintains its cash and cash equivalent balances with high quality financial institutions and, consequently, the Company believes that such funds are subject to minimal credit risk. The Company’s marketable securities consist of U.S. Treasury Securities. The Company’s investment policy limits the amounts the Company may invest in any one type of investment and requires all investments held by the Company to be at least AA-/Aa3 rated, thereby reducing credit risk exposure.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Investments consist of U.S. Treasury Securities. Management determines the appropriate classification of these securities at the time they are acquired and evaluates the appropriateness of such classifications at each balance sheet date. The Company classifies its investments as available-for-sale pursuant to ASC 320, Investments-Debt and Equity Securities. Investments are recorded at fair value, with unrealized gains and losses included as a component of accumulated other comprehensive income (loss) in stockholders’ equity and a component of total comprehensive loss in the consolidated statements of comprehensive loss, until realized. Realized gains and losses are included in investment income on a specific-identification basis. The Company estimates expected credit losses for investments when unrealized losses exist. Unrealized losses that are credit related are recognized in the Company’s Consolidated Statement of Operations and unrealized losses that are not credit related are recognized in accumulated other comprehensive income (loss). For the three months ended March 31, 2026 and 2025, there were no unrealized losses that were credit related. For the three months ended March 31, 2026, and 2025 there were net unrealized loss on investments of $0.1 and $0.1 million, respectively.</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Intangible assets consisted of an indefinite lived intangible IPR&amp;D asset. Intangible assets related to IPR&amp;D projects are considered to be indefinite-lived until the completion or abandonment of the associated R&amp;D efforts. If and when development is complete, which generally occurs if and when regulatory approval to market a product is obtained, the associated assets would be deemed finite-lived and would then be amortized based on their respective estimated useful lives at that point in time. IPR&amp;D intangible assets which are determined to have had a decrease in their fair value are adjusted downward and an expense is recognized in R&amp;D expenses in the Consolidated Statements of Operations. These IPR&amp;D intangible assets are tested at least annually or when a triggering event occurs that could indicate a potential impairment based on indicators including progress of R&amp;D activities, changes in projected development of assets, and changes in regulatory environment and future commercial markets. If a triggering event occurs that would indicate a potential impairment, the Company will perform a quantitative analysis to determine whether it is more likely than not that the fair value is below carrying amount.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Goodwill is tested for impairment annually as of December 31, or more frequently when events or changes in circumstances indicate that the asset might be impaired.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expense is recognized using the straight-line method over the estimated useful lives of the asset which are three to fifteen years. Expenditures for repairs and maintenance of assets are charged to expense as incurred. Upon retirement or sale, the cost and related accumulated depreciation of assets disposed of are removed from the accounts and any resulting gain or loss is included in loss from operations. Costs incurred in connection with development or purchase of internal use software and cloud computing arrangements, including in-substance software licenses, are capitalized as computer equipment and internal-use software. Amortization is computed on a straight-line basis over the estimated useful life of the asset, which is six years. Capitalized software is included in property and equipment in the Consolidated Balance Sheets.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is required to disclose information on all assets and liabilities reported at fair value that enables an assessment of the inputs used in determining the reported fair values. ASC 820, Fair Value Measurements and Disclosures, establishes a hierarchy of inputs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Valuations based on unadjusted quoted prices in active markets for identical assets or liabilities that the Company has the ability to access at the measurement date.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Valuations based on quoted prices for similar assets or liabilities in markets that are not active or for which all significant inputs are observable, either directly or indirectly.</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 Valuations that require inputs that reflect the Company’s own assumptions that are both significant to the fair value measurement and unobservable.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financial instruments, including cash and cash equivalents, restricted cash, deposits, accounts payable and accrued expenses approximate their respective carrying values due to the short-term nature of most of these instruments.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Warrants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accounts for stock warrants as either equity instruments, liabilities or derivative liabilities in accordance with ASC 480, Distinguishing Liabilities from Equity and/or ASC 815, Derivatives and Hedging, depending on the specific terms of the warrant agreement. Liability-classified warrants are recorded at their estimated fair values at each reporting period until they are exercised, terminated, reclassified or otherwise settled. Changes in the estimated fair value of liability-classified warrants are included in interest and other income in the Company’s Consolidated Statement of Operations. Warrants classified as equity instruments are recorded within additional paid-in capital at the time of issuance and are not subject to remeasurement.</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issues stock-based awards to employees and non-employees, generally in the form of stock options, RSUs and PSUs.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measures the compensation expense of employee and non-employee services received in exchange for an award of equity instruments based on the fair value of the award on the grant date. The cost of a stock option or RSU is recognized over the requisite service period of the award on a straight-line basis with forfeitures recognized as they occur. The vesting condition for PSUs is performance based and the cost of a PSU is recognized when it is likely that the performance goal associated with the PSU will be achieved and the award will vest.</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options on the date of grant is calculated using the Black-Scholes option pricing model based on key assumptions such as expected volatility and expected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classifies stock-based compensation expense in its Consolidated Statements of Operations in the same manner in which the award recipient’s payroll costs and services are classified or in which the award recipient’s service payments are classified.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The Company’s CODM is its Chief Executive Officer and the senior leadership team. The CODM manages the Company’s operations on an integrated basis for the purpose of allocating resources. When evaluating the Company’s financial performance, the CODM regularly reviews total expenses and expenses by significant areas to make decisions on a company wide basis. Included in these expenses are R&amp;D expenses by program.</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Pronouncements Not Adopted as of March 31,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ASU 2024-03: Expense Disaggregation Disclosures. This update requires disaggregated disclosure of income statement expenses. This update is effective for fiscal years beginning after December 15, 2027. Early adoption is permitted. The Company is evaluating the effect that ASU 2024-03 will have on its financial statements and disclosures.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ASU 2025-10: Government Grants Topic 832. This update adds guidance on the recognition, measurement and presentation of government grants. This update is effective for fiscal years beginning after December 15, 2028. The Company is evaluating the effect that ASU 2025-10 will have on its financial statements and disclosures.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ASU 2025-11: Interim Reporting Topic 270. This update is intended to improve the navigability of guidance in ASC 270, Interim Reporting, and clarify when it applies. The amendments also provide additional guidance on what disclosures should be provided in interim reporting periods. This update is effective for fiscal years beginning after December 15, 2027. The Company is evaluating the effect that ASU 2025-11 will have on its disclosures.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Items measured at fair value on a recurring basis are the Company’s investments and warrant liability. The following table sets forth the Company’s financial investments that were measured at fair value on a recurring basis by level within the fair value hierarchy as well as amortized cost of investments:</w:t>
      </w:r>
    </w:p>
    <w:p>
      <w:pPr>
        <w:pStyle w:val="TextBody"/>
        <w:bidi w:val="0"/>
        <w:jc w:val="left"/>
        <w:rPr/>
      </w:pPr>
      <w:r>
        <w:rPr/>
        <w:t> </w:t>
      </w:r>
    </w:p>
    <w:tbl>
      <w:tblPr>
        <w:tblW w:w="9758" w:type="dxa"/>
        <w:jc w:val="left"/>
        <w:tblInd w:w="0" w:type="dxa"/>
        <w:tblLayout w:type="fixed"/>
        <w:tblCellMar>
          <w:top w:w="28" w:type="dxa"/>
          <w:left w:w="28" w:type="dxa"/>
          <w:bottom w:w="28" w:type="dxa"/>
          <w:right w:w="28" w:type="dxa"/>
        </w:tblCellMar>
      </w:tblPr>
      <w:tblGrid>
        <w:gridCol w:w="2616"/>
        <w:gridCol w:w="301"/>
        <w:gridCol w:w="1124"/>
        <w:gridCol w:w="146"/>
        <w:gridCol w:w="146"/>
        <w:gridCol w:w="242"/>
        <w:gridCol w:w="777"/>
        <w:gridCol w:w="167"/>
        <w:gridCol w:w="167"/>
        <w:gridCol w:w="242"/>
        <w:gridCol w:w="897"/>
        <w:gridCol w:w="167"/>
        <w:gridCol w:w="167"/>
        <w:gridCol w:w="410"/>
        <w:gridCol w:w="325"/>
        <w:gridCol w:w="167"/>
        <w:gridCol w:w="167"/>
        <w:gridCol w:w="242"/>
        <w:gridCol w:w="897"/>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March 31, 2026,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December 31, 2025,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amortized cost for marketable debt securities approximates its fair value and these securities mature within one year as of March 31, 2026 and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classifies its money market mutual funds as Level 1 assets under the fair value hierarchy, as these assets have been valued using quoted market prices in active markets without any valuation adjustment. The Company classifies its U.S. Treasury Securities as Level 2 assets as these assets are not traded in an active market and have been valued through a third-party pricing service based on quoted prices for similar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had a warrant liability, which expired on April 23, 2025. The warrant liability was recorded as part of other liabilities in the Consolidated Balance Sheets and measured at fair value on a recurring basis using unobservable inputs (Level 3). The warrant liability balance was approximately $0 on March 31, 2025.</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Company utilized a Black-Scholes model to value the warrant liability with the estimated fair value of the warrant liability determined using an options pricing model and Level 3 inputs including expected share-price volatility of underlying company common stock, expected life of warrant, risk-free interest rate and dividend yield. The Company estimated the expected share-price volatility of its common stock based on historical volatility of its common stock, considering the expected remaining life of the warrant. The expected life of the warrant was assumed to be equivalent to their remaining contractual term. The risk-free interest rate was based on the U.S. Treasury zero-coupon yield curve on the valuation date for a maturity similar to the expected remaining life of the warrant. The dividend rate was based on the historical dividend rate, which the Company anticipated to remain at zero</w:t>
      </w:r>
      <w:r>
        <w:rPr>
          <w:rFonts w:ascii="Times New Roman" w:hAnsi="Times New Roman"/>
          <w:b/>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property and equipment consisted of the following:</w:t>
      </w:r>
    </w:p>
    <w:p>
      <w:pPr>
        <w:pStyle w:val="TextBody"/>
        <w:bidi w:val="0"/>
        <w:jc w:val="left"/>
        <w:rPr/>
      </w:pPr>
      <w:r>
        <w:rPr/>
        <w:t> </w:t>
      </w:r>
    </w:p>
    <w:tbl>
      <w:tblPr>
        <w:tblW w:w="7653" w:type="dxa"/>
        <w:jc w:val="left"/>
        <w:tblInd w:w="0" w:type="dxa"/>
        <w:tblLayout w:type="fixed"/>
        <w:tblCellMar>
          <w:top w:w="28" w:type="dxa"/>
          <w:left w:w="28" w:type="dxa"/>
          <w:bottom w:w="28" w:type="dxa"/>
          <w:right w:w="28" w:type="dxa"/>
        </w:tblCellMar>
      </w:tblPr>
      <w:tblGrid>
        <w:gridCol w:w="4111"/>
        <w:gridCol w:w="321"/>
        <w:gridCol w:w="1119"/>
        <w:gridCol w:w="166"/>
        <w:gridCol w:w="384"/>
        <w:gridCol w:w="134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the three months ended March 31, 2026 and 2025, the Company recognized $1.6 million and $2.5 million of depreciation and amortization expense,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Intangible Assets and Goodwill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intangible assets consisted of an acquired IPR&amp;D asset received in the acquisition of Renovacor with a carrying value of $25.2 million as of March 31, 2026 and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as of March 31, 2026 and December 31, 2025 was $39.2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Accounts Payable and Accrued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accounts payable and accrued expenses consisted of the following:</w:t>
      </w:r>
    </w:p>
    <w:p>
      <w:pPr>
        <w:pStyle w:val="TextBody"/>
        <w:bidi w:val="0"/>
        <w:jc w:val="left"/>
        <w:rPr/>
      </w:pPr>
      <w:r>
        <w:rPr/>
        <w:t> </w:t>
      </w:r>
    </w:p>
    <w:tbl>
      <w:tblPr>
        <w:tblW w:w="7313" w:type="dxa"/>
        <w:jc w:val="left"/>
        <w:tblInd w:w="0" w:type="dxa"/>
        <w:tblLayout w:type="fixed"/>
        <w:tblCellMar>
          <w:top w:w="28" w:type="dxa"/>
          <w:left w:w="28" w:type="dxa"/>
          <w:bottom w:w="28" w:type="dxa"/>
          <w:right w:w="28" w:type="dxa"/>
        </w:tblCellMar>
      </w:tblPr>
      <w:tblGrid>
        <w:gridCol w:w="3811"/>
        <w:gridCol w:w="342"/>
        <w:gridCol w:w="1098"/>
        <w:gridCol w:w="146"/>
        <w:gridCol w:w="409"/>
        <w:gridCol w:w="1316"/>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payable and accrued expenses</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March 10, 2026, the Company entered into a sales agreement (the “Sales Agreement”) with Cantor with respect to an at-the-market offering program pursuant to which the Company may offer and sell, from time to time at its sole discretion, shares having an aggregate price of up to $100,000,000 through Cantor as its sales agent. The shares to be offered and sold under the Sales Agreement, if any, will be offered and sold pursuant to the Company’s shelf registration statement on Form S-3. The Company filed a prospectus supplement with the SEC on March 10, 2026, in connection with the offer and sale of the shares pursuant to the Sales Agreement. The Company will pay Cantor a cash commission of up to 3.0% of gross proceeds from the sale of the shares pursuant to the Sales Agreement. Through March 31, 2026, the Company has not sold any shares under the at-the-market offering program.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Stock Option Valuation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weighted average assumptions that the Company used in a Black-Scholes pricing model to determine the fair value of stock options granted to employees, non-employees and directors were as follows:</w:t>
      </w:r>
    </w:p>
    <w:p>
      <w:pPr>
        <w:pStyle w:val="TextBody"/>
        <w:bidi w:val="0"/>
        <w:jc w:val="left"/>
        <w:rPr/>
      </w:pPr>
      <w:r>
        <w:rPr/>
        <w:t> </w:t>
      </w:r>
    </w:p>
    <w:tbl>
      <w:tblPr>
        <w:tblW w:w="5475" w:type="dxa"/>
        <w:jc w:val="left"/>
        <w:tblInd w:w="0" w:type="dxa"/>
        <w:tblLayout w:type="fixed"/>
        <w:tblCellMar>
          <w:top w:w="28" w:type="dxa"/>
          <w:left w:w="28" w:type="dxa"/>
          <w:bottom w:w="28" w:type="dxa"/>
          <w:right w:w="28" w:type="dxa"/>
        </w:tblCellMar>
      </w:tblPr>
      <w:tblGrid>
        <w:gridCol w:w="2371"/>
        <w:gridCol w:w="320"/>
        <w:gridCol w:w="868"/>
        <w:gridCol w:w="412"/>
        <w:gridCol w:w="320"/>
        <w:gridCol w:w="868"/>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 option activity for the three months ended March 31, 2026:</w:t>
      </w:r>
    </w:p>
    <w:p>
      <w:pPr>
        <w:pStyle w:val="TextBody"/>
        <w:bidi w:val="0"/>
        <w:jc w:val="left"/>
        <w:rPr/>
      </w:pPr>
      <w:r>
        <w:rPr/>
        <w:t> </w:t>
      </w:r>
    </w:p>
    <w:tbl>
      <w:tblPr>
        <w:tblW w:w="9379" w:type="dxa"/>
        <w:jc w:val="left"/>
        <w:tblInd w:w="0" w:type="dxa"/>
        <w:tblLayout w:type="fixed"/>
        <w:tblCellMar>
          <w:top w:w="28" w:type="dxa"/>
          <w:left w:w="28" w:type="dxa"/>
          <w:bottom w:w="28" w:type="dxa"/>
          <w:right w:w="28" w:type="dxa"/>
        </w:tblCellMar>
      </w:tblPr>
      <w:tblGrid>
        <w:gridCol w:w="4396"/>
        <w:gridCol w:w="146"/>
        <w:gridCol w:w="1036"/>
        <w:gridCol w:w="166"/>
        <w:gridCol w:w="247"/>
        <w:gridCol w:w="669"/>
        <w:gridCol w:w="146"/>
        <w:gridCol w:w="295"/>
        <w:gridCol w:w="950"/>
        <w:gridCol w:w="146"/>
        <w:gridCol w:w="267"/>
        <w:gridCol w:w="724"/>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weighted average grant-date fair value per share of stock options granted during the three months ended March 31, 2026, and 2025 was $3.28 and $6.05,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fair value of options vested during the three months ended March 31, 2026 and 2025 was $4.4 million and $10.7 million, respectively.</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Company’s RSU activity for the three months ended March 31, 2026:</w:t>
      </w:r>
    </w:p>
    <w:p>
      <w:pPr>
        <w:pStyle w:val="TextBody"/>
        <w:bidi w:val="0"/>
        <w:jc w:val="left"/>
        <w:rPr/>
      </w:pPr>
      <w:r>
        <w:rPr/>
        <w:t> </w:t>
      </w:r>
    </w:p>
    <w:tbl>
      <w:tblPr>
        <w:tblW w:w="6140" w:type="dxa"/>
        <w:jc w:val="left"/>
        <w:tblInd w:w="0" w:type="dxa"/>
        <w:tblLayout w:type="fixed"/>
        <w:tblCellMar>
          <w:top w:w="28" w:type="dxa"/>
          <w:left w:w="28" w:type="dxa"/>
          <w:bottom w:w="28" w:type="dxa"/>
          <w:right w:w="28" w:type="dxa"/>
        </w:tblCellMar>
      </w:tblPr>
      <w:tblGrid>
        <w:gridCol w:w="2926"/>
        <w:gridCol w:w="146"/>
        <w:gridCol w:w="931"/>
        <w:gridCol w:w="166"/>
        <w:gridCol w:w="523"/>
        <w:gridCol w:w="1157"/>
        <w:gridCol w:w="2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Common stock issued excludes 834 awards that were vested in 2025 but issued in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fair value of RSUs vested during the three months ended March 31, 2026 and 2025 was $7.3 million and $7.3 million, respectively.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granted PSU awards in 2024. PSU vesting and expense recognition is based on achievement of specific performance goals within certain time periods specified in the respective PSU award agreements. PSU awards that are not achieved within specific time periods are forfeited. As of December 31, 2025, the performance periods for all PSUs issued in 2024 had expired and all PSUs were forfeited.</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Stock-based compensation expense recognized by award type was as follows:</w:t>
      </w:r>
    </w:p>
    <w:p>
      <w:pPr>
        <w:pStyle w:val="TextBody"/>
        <w:bidi w:val="0"/>
        <w:jc w:val="left"/>
        <w:rPr/>
      </w:pPr>
      <w:r>
        <w:rPr/>
        <w:t> </w:t>
      </w:r>
    </w:p>
    <w:tbl>
      <w:tblPr>
        <w:tblW w:w="6431" w:type="dxa"/>
        <w:jc w:val="left"/>
        <w:tblInd w:w="0" w:type="dxa"/>
        <w:tblLayout w:type="fixed"/>
        <w:tblCellMar>
          <w:top w:w="28" w:type="dxa"/>
          <w:left w:w="28" w:type="dxa"/>
          <w:bottom w:w="28" w:type="dxa"/>
          <w:right w:w="28" w:type="dxa"/>
        </w:tblCellMar>
      </w:tblPr>
      <w:tblGrid>
        <w:gridCol w:w="3451"/>
        <w:gridCol w:w="324"/>
        <w:gridCol w:w="878"/>
        <w:gridCol w:w="224"/>
        <w:gridCol w:w="324"/>
        <w:gridCol w:w="1039"/>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Stock-based compensation expense by classification included within the Consolidated Statements of Operations and Comprehensive Loss was as follows:</w:t>
      </w:r>
    </w:p>
    <w:p>
      <w:pPr>
        <w:pStyle w:val="TextBody"/>
        <w:bidi w:val="0"/>
        <w:jc w:val="left"/>
        <w:rPr/>
      </w:pPr>
      <w:r>
        <w:rPr/>
        <w:t> </w:t>
      </w:r>
    </w:p>
    <w:tbl>
      <w:tblPr>
        <w:tblW w:w="6431" w:type="dxa"/>
        <w:jc w:val="left"/>
        <w:tblInd w:w="0" w:type="dxa"/>
        <w:tblLayout w:type="fixed"/>
        <w:tblCellMar>
          <w:top w:w="28" w:type="dxa"/>
          <w:left w:w="28" w:type="dxa"/>
          <w:bottom w:w="28" w:type="dxa"/>
          <w:right w:w="28" w:type="dxa"/>
        </w:tblCellMar>
      </w:tblPr>
      <w:tblGrid>
        <w:gridCol w:w="3451"/>
        <w:gridCol w:w="324"/>
        <w:gridCol w:w="878"/>
        <w:gridCol w:w="224"/>
        <w:gridCol w:w="324"/>
        <w:gridCol w:w="1039"/>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March 31, 2026, the Company had an aggregate of $51.5 million of unrecognized stock-based compensation expense related to stock options and RSU grants, which is expected to be recognized over a weighted average period of 2.16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summary of the warrants outstanding as of March 31, 2026 is as follows:</w:t>
      </w:r>
    </w:p>
    <w:p>
      <w:pPr>
        <w:pStyle w:val="TextBody"/>
        <w:bidi w:val="0"/>
        <w:jc w:val="left"/>
        <w:rPr/>
      </w:pPr>
      <w:r>
        <w:rPr/>
        <w:t> </w:t>
      </w:r>
    </w:p>
    <w:tbl>
      <w:tblPr>
        <w:tblW w:w="6465" w:type="dxa"/>
        <w:jc w:val="left"/>
        <w:tblInd w:w="0" w:type="dxa"/>
        <w:tblLayout w:type="fixed"/>
        <w:tblCellMar>
          <w:top w:w="28" w:type="dxa"/>
          <w:left w:w="28" w:type="dxa"/>
          <w:bottom w:w="28" w:type="dxa"/>
          <w:right w:w="28" w:type="dxa"/>
        </w:tblCellMar>
      </w:tblPr>
      <w:tblGrid>
        <w:gridCol w:w="1351"/>
        <w:gridCol w:w="154"/>
        <w:gridCol w:w="987"/>
        <w:gridCol w:w="146"/>
        <w:gridCol w:w="2101"/>
        <w:gridCol w:w="1726"/>
      </w:tblGrid>
      <w:tr>
        <w:trPr/>
        <w:tc>
          <w:tcPr>
            <w:tcW w:w="13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Grant/Assumption Date</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$57.11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21, 2020</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21, 2030</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2021</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2031</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2021</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2031</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2021</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2031</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 2022</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 2026</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2023</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12, 2024</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Total</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 Issued in Public Offerings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2024 and 2023, the Company sold pre-funded warrants to purchase 400,000 and 3,126,955 shares of common stock, respectively at a price of $0.01 per share. The pre-funded warrants were acquired by funds affiliated with RTW.</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w:t>
      </w:r>
    </w:p>
    <w:p>
      <w:pPr>
        <w:pStyle w:val="TextBody"/>
        <w:bidi w:val="0"/>
        <w:jc w:val="left"/>
        <w:rPr/>
      </w:pPr>
      <w:r>
        <w:rPr/>
        <w:t> </w:t>
      </w:r>
    </w:p>
    <w:tbl>
      <w:tblPr>
        <w:tblW w:w="9187" w:type="dxa"/>
        <w:jc w:val="left"/>
        <w:tblInd w:w="0" w:type="dxa"/>
        <w:tblLayout w:type="fixed"/>
        <w:tblCellMar>
          <w:top w:w="28" w:type="dxa"/>
          <w:left w:w="28" w:type="dxa"/>
          <w:bottom w:w="28" w:type="dxa"/>
          <w:right w:w="28" w:type="dxa"/>
        </w:tblCellMar>
      </w:tblPr>
      <w:tblGrid>
        <w:gridCol w:w="6106"/>
        <w:gridCol w:w="211"/>
        <w:gridCol w:w="1141"/>
        <w:gridCol w:w="166"/>
        <w:gridCol w:w="211"/>
        <w:gridCol w:w="1141"/>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112,134,059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110,093,461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 the three months ended March 31, 2026 and 2025, the Company included the 3,126,955 potential shares from pre-funded warrants acquired by RTW in 2023 and the 400,000 potential shares from pre-funded warrants acquired by RTW in 2024 in the basic weighted-average common shares outstanding as the warrants only require the holder to pay $0.01 per share upon exercise.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excluded the following potential shares of common stock,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jc w:val="left"/>
        <w:rPr/>
      </w:pPr>
      <w:r>
        <w:rPr/>
        <w:t> </w:t>
      </w:r>
    </w:p>
    <w:tbl>
      <w:tblPr>
        <w:tblW w:w="8125" w:type="dxa"/>
        <w:jc w:val="left"/>
        <w:tblInd w:w="0" w:type="dxa"/>
        <w:tblLayout w:type="fixed"/>
        <w:tblCellMar>
          <w:top w:w="28" w:type="dxa"/>
          <w:left w:w="28" w:type="dxa"/>
          <w:bottom w:w="28" w:type="dxa"/>
          <w:right w:w="28" w:type="dxa"/>
        </w:tblCellMar>
      </w:tblPr>
      <w:tblGrid>
        <w:gridCol w:w="5146"/>
        <w:gridCol w:w="162"/>
        <w:gridCol w:w="1151"/>
        <w:gridCol w:w="162"/>
        <w:gridCol w:w="162"/>
        <w:gridCol w:w="1151"/>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exercisable for common shares</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1,971,073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7,698,203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14,161,048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17,200,534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 shares excluded from diluted net loss per share</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23,830,324</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23,906,781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Finance Lease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a lease for a facility in Cranbury, New Jersey, consisting of 103,720 square feet of space including areas for offices, process development, research, and development laboratories and 50,000 square feet dedicated to AAV cGMP manufacturing facilities to support the Company’s pipeline (such lease, as amended, the “NJ Lease Agreement”). The NJ Lease Agreement has a 15-year term from September 1, 2019, with an option to renew for two consecutive five-year renewal terms. The renewal periods were included in the lease term as it was determined at commencement date that it was reasonably certain to exercise this option.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Estimated rent payments for the NJ Lease Agreement are $1.2 million per annum, payable in monthly installments, and subject to annual base rent increases of 3%. The total commitment under the lease is estimated to be approximately $29.3 million over the 15-year term of the lease. The Company paid a cash security deposit of $0.3 million to the landlord in connection with the NJ Lease Agreement which has been reflected as part of deposits in the Consolidated Balance Sheets as of March 31, 2026 and December 31, 2025.</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June 7, 2018, the Company entered into a three-year ESB Lease Agreement. In connection with the ESB Lease Agreement, the Company established an irrevocable standby letter of credit for $0.8 million. On March 26, 2021, the Company entered into Amendment No. 1 to the ESB Lease Agreement that extended the term of the lease agreement to June 30, 2024. On March 29, 2024, the Company entered into Amendment No. 2 to the ESB Lease Agreement that extended the term of the lease agreement to July 31, 2027. The letter of credit serves as the Company’s security deposit on the lease in which the landlord is the beneficiary and expires September 30, 2027.</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year ended December 31, 2025, the Company began exploring a sublease of the ESB lease and entered negotiations with a sublease tenant. The Company reviewed the recoverability of the related right-of-use asset and determined that the changes in the intended use of the lease represented an impairment indicator as negotiations indicated that the carrying value of the right-of-use asset may not be recoverable. The Company compared the expected future undiscounted cash flows from the negotiations of a sublease to the carrying value of the right-of-use asset and determined that it was not recoverable. The Company calculated the fair value based on the present value of the expected cash flows from a sublease based on the negotiations with a sublease tenant and compared this estimated fair value to its carrying value. This resulted in a right-of-use asset impairment charge of approximately $0.3 million. The fair value was estimated using level 3 inputs based on an income approach by converting estimated future cash inflows from a sublease to a single present value. Estimated cash flows were discounted at a rate of 8.6% commensurate with the inherent risks associated with the lease asset to arrive at an estimated fair value. The ESB sublease was completed in April 2026. In conjunction with the completion of the sublease, the Company received a security deposit of $68,000.</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a certificate of deposit of $0.8 million with a bank as collateral for the ESB Lease Agreement letter of credit which is classified as part of restricted cash in the Consolidated Balance Sheets as of March 31, 2026 and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acquisition of Renovacor, the Company added operating leases for space at facilities in Hopewell, New Jersey. The Company intends to sublease the facilities in Hopewell, New Jersey and signed the first agreement to sublease one of these facilities in January 2024. Rental income received under sublease agreements was less than $0.1 million for the three months ended March 31, 2026 and 2025,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Rent expense excluding rental income was $0.2 million and $0.3 million for the three months ended March 31, 2026 and 2025,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restricted cash balance for the Company’s operating and finance leases as of March 31, 2026 and December 31, 2025 was $0.8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lease cost for the three months ended March 31, 2026 and 2025:</w:t>
      </w:r>
    </w:p>
    <w:p>
      <w:pPr>
        <w:pStyle w:val="TextBody"/>
        <w:bidi w:val="0"/>
        <w:jc w:val="left"/>
        <w:rPr/>
      </w:pPr>
      <w:r>
        <w:rPr/>
        <w:t> </w:t>
      </w:r>
    </w:p>
    <w:tbl>
      <w:tblPr>
        <w:tblW w:w="6060" w:type="dxa"/>
        <w:jc w:val="left"/>
        <w:tblInd w:w="0" w:type="dxa"/>
        <w:tblLayout w:type="fixed"/>
        <w:tblCellMar>
          <w:top w:w="28" w:type="dxa"/>
          <w:left w:w="28" w:type="dxa"/>
          <w:bottom w:w="28" w:type="dxa"/>
          <w:right w:w="28" w:type="dxa"/>
        </w:tblCellMar>
      </w:tblPr>
      <w:tblGrid>
        <w:gridCol w:w="2981"/>
        <w:gridCol w:w="344"/>
        <w:gridCol w:w="931"/>
        <w:gridCol w:w="238"/>
        <w:gridCol w:w="344"/>
        <w:gridCol w:w="931"/>
        <w:gridCol w:w="291"/>
      </w:tblGrid>
      <w:tr>
        <w:trPr/>
        <w:tc>
          <w:tcPr>
            <w:tcW w:w="29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right of use assets</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future lease payments of the Company’s operating lease liabilities on an undiscounted cash flow basis:</w:t>
      </w:r>
    </w:p>
    <w:p>
      <w:pPr>
        <w:pStyle w:val="TextBody"/>
        <w:bidi w:val="0"/>
        <w:jc w:val="left"/>
        <w:rPr/>
      </w:pPr>
      <w:r>
        <w:rPr/>
        <w:t> </w:t>
      </w:r>
    </w:p>
    <w:tbl>
      <w:tblPr>
        <w:tblW w:w="4607" w:type="dxa"/>
        <w:jc w:val="left"/>
        <w:tblInd w:w="0" w:type="dxa"/>
        <w:tblLayout w:type="fixed"/>
        <w:tblCellMar>
          <w:top w:w="28" w:type="dxa"/>
          <w:left w:w="28" w:type="dxa"/>
          <w:bottom w:w="28" w:type="dxa"/>
          <w:right w:w="28" w:type="dxa"/>
        </w:tblCellMar>
      </w:tblPr>
      <w:tblGrid>
        <w:gridCol w:w="2956"/>
        <w:gridCol w:w="361"/>
        <w:gridCol w:w="107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Ending December 31,</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(nine months)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future lease payments of the Company’s finance lease liability on an undiscounted cash flow basis:</w:t>
      </w:r>
    </w:p>
    <w:p>
      <w:pPr>
        <w:pStyle w:val="TextBody"/>
        <w:bidi w:val="0"/>
        <w:jc w:val="left"/>
        <w:rPr/>
      </w:pPr>
      <w:r>
        <w:rPr/>
        <w:t> </w:t>
      </w:r>
    </w:p>
    <w:tbl>
      <w:tblPr>
        <w:tblW w:w="4607" w:type="dxa"/>
        <w:jc w:val="left"/>
        <w:tblInd w:w="0" w:type="dxa"/>
        <w:tblLayout w:type="fixed"/>
        <w:tblCellMar>
          <w:top w:w="28" w:type="dxa"/>
          <w:left w:w="28" w:type="dxa"/>
          <w:bottom w:w="28" w:type="dxa"/>
          <w:right w:w="28" w:type="dxa"/>
        </w:tblCellMar>
      </w:tblPr>
      <w:tblGrid>
        <w:gridCol w:w="2956"/>
        <w:gridCol w:w="321"/>
        <w:gridCol w:w="111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Ending December 31,</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(nine months)</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liability</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operating and financing lease liabilities and right-of-use assets as of March 31, 2026 and December 31, 2025:</w:t>
      </w:r>
    </w:p>
    <w:p>
      <w:pPr>
        <w:pStyle w:val="TextBody"/>
        <w:bidi w:val="0"/>
        <w:jc w:val="left"/>
        <w:rPr/>
      </w:pPr>
      <w:r>
        <w:rPr/>
        <w:t> </w:t>
      </w:r>
    </w:p>
    <w:tbl>
      <w:tblPr>
        <w:tblW w:w="6638" w:type="dxa"/>
        <w:jc w:val="left"/>
        <w:tblInd w:w="0" w:type="dxa"/>
        <w:tblLayout w:type="fixed"/>
        <w:tblCellMar>
          <w:top w:w="28" w:type="dxa"/>
          <w:left w:w="28" w:type="dxa"/>
          <w:bottom w:w="28" w:type="dxa"/>
          <w:right w:w="28" w:type="dxa"/>
        </w:tblCellMar>
      </w:tblPr>
      <w:tblGrid>
        <w:gridCol w:w="3136"/>
        <w:gridCol w:w="342"/>
        <w:gridCol w:w="1098"/>
        <w:gridCol w:w="146"/>
        <w:gridCol w:w="409"/>
        <w:gridCol w:w="131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current lease liabilities</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noncurrent lease liabilities</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right-of-use assets</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current lease liability</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noncurrent lease liability</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liability</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5866"/>
        <w:gridCol w:w="230"/>
        <w:gridCol w:w="1016"/>
        <w:gridCol w:w="296"/>
        <w:gridCol w:w="230"/>
        <w:gridCol w:w="1016"/>
        <w:gridCol w:w="316"/>
      </w:tblGrid>
      <w:tr>
        <w:trPr/>
        <w:tc>
          <w:tcPr>
            <w:tcW w:w="58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flows from finance lease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 years</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OK</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June 11, 2025 and July 18, 2025, two stockholders filed putative securities class action lawsuits against the Company and certain of its executive officers in the United States District Court for the District of New Jersey, purportedly on behalf of classes of the Company’s investors who purchased or otherwise acquired the Company’s common stock between February 27, 2025 and May 26, 2025 (Ho v. Rocket Pharmaceuticals, Inc., and Gaurav Shah, Case No. 3:35-cv-10049) and between September 17, 2024 and May 26, 2025 (Yankov v. Rocket Pharmaceuticals, Inc., Gaurav Shah and Aaron Ondrey, 3:25-cv-13532), respectively. The complaints allege violations of Sections 10(b) and 20(a) of the Securities Exchange Act of 1934 and Rule 10b-5 promulgated thereunder in connection with various public statements made by the Company regarding its Phase 2 clinical trial for RP-A501 for Danon disease. The actions seek unspecified damages, costs and expenses, including attorneys’ fees. On September 9, 2025, the Court consolidated the two pending putative securities class action lawsuits, appointed two stockholders as co-lead plaintiffs, and approved their selection of co-lead counsel. Pursuant to a stipulation approved by the Court on September 22, 2025, the co-lead plaintiffs filed a consolidated amended complaint on November 18, 2025. The consolidated amended complaint, captioned in re Rocket Pharmaceuticals, Inc. Securities Litigation, 3:25-cv-10049, is brought on behalf of persons who purchased or otherwise acquired the Company’s securities during the period of February 28, 2024 through August 25, 2025 (inclusive). Plaintiffs claim that the lawsuit arises from Defendants’ public statements and purported omissions concerning Rocket’s Phase 2 clinical trial for RP-A501 for DD. Among other things, Plaintiffs allege that Defendants failed to disclose certain SAEs that impacted patients during the Phase 2 clinical trial and the introduction of a C3 inhibitor to the trial’s protocol and that Defendants purportedly lacked a viable trial design that could safely and effectively dose patients while managing the risk of serious adverse events. According to Plaintiffs, Rocket’s stock price was inflated as a result of these purported misstatements and omissions. We intend to vigorously defend against the consolidated amended complaint’s allegations. On January 30, 2026, the Company filed a motion to dismiss the consolidated amended complaint. The Plaintiffs response to the Company’s motion was filed on April 1, 2026 and the Defendants reply thereto is due on May 16, 2026. Given the nature of the cases, including that the proceedings are in their early stages, the Company is unable to predict the ultimate outcome of the cases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October 22, 2025, a putative derivative action was filed in the District of New Jersey, naming as Defendants certain of the Company’s officers and present or former directors of the Company. The Complaint (which names the Company as a nominal defendant) alleges that the Defendants engaged in wrongful conduct during the period from September 17, 2024 through May 26, 2025. The allegations in the complaint largely parallel the allegations made in the previously filed putative securities class action complaints, with some additional allegations regarding a supposed lack of internal controls and purported insider trading. The Complaint seeks declaratory relief, an award of damages to the Company, an order directing the Company and the individual defendants to institute certain requested corporate governance reforms, restitution from the individual defendants, and costs and disbursements related to the lawsuit. The parties agreed to stay all proceedings in the putative derivative action until any motions to dismiss the putative securities class action are resolved, and on December 22, 2025, the Court approved the parties’ stipulation to that effect. The Company intends to vigorously defend the litigation. The Company will pay the legal fees related to the putative derivative action against the Company’s officers and directors. Given the nature of the litigation, including the fact that the litigation is in its early stages, the Company is unable to predict the ultimate outcome of the litigation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its business activities. Although the results of litigation and claims cannot be predicted with certainty, the Company does not believe it is party to any other claim or litigation the outcome of which, if determined adversely to the Company, would individually or in the aggregate be reasonably expected to have a material adverse effect on its business. Regardless of the outcome, litigation can have an adverse impact on the Company because of defense and settlement costs, diversion of management resources and other factors.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Indemnification Arrangements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its bylaws and as permitted under Delaware law, the Company has indemnification obligations to directors, officers, employees or agents of the Company or anyone serving in these capacities. Potential indemnification obligations include obligations from lawsuits. The maximum potential amount of future payments the Company could be required to pay is unlimited. The Company has insurance that reduces its monetary exposure and would enable it to recover a portion of any future amounts paid. As a result, the Company believes that the estimated fair value of these indemnification commitments is minimal.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Throughout the normal course of business, the Company has agreements with vendors that provide goods and services required by the Company to run its business. In some instances, vendor agreements include language that requires the Company to indemnify the vendor from certain damages caused by the Company’s use of the vendor’s goods and/or services. Potential damages include damages from lawsuits. The Company has insurance that would allow it to recover a portion of any future amounts that could arise from these indemnifications. As a result, the Company believes that the estimated fair value of these indemnification commitments is minimal.</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Agreements Related to Intellectual Property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Company, directly and through its subsidiary Spacecraft Seven, LLC, has various license and research and collaboration arrangements. The transactions principally resulted in the acquisition of rights to intellectual property which is in the preclinical phase and has not been tested for safety or feasibility. In all cases, the Company did not acquire tangible assets, processes, protocols, or operating systems. The Company expenses the acquired intellectual property rights as of the acquisition date when the cost of intangible assets purchased from others has no alternative future uses. The Company incurred $2.4 million, net, of payment obligations to licensors included in G&amp;A expenses as a result of the approval of KRESLADI</w:t>
      </w:r>
      <w:r>
        <w:rPr>
          <w:rFonts w:ascii="Times New Roman" w:hAnsi="Times New Roman"/>
          <w:color w:val="000000"/>
          <w:sz w:val="13"/>
        </w:rPr>
        <w:t>TM</w:t>
      </w:r>
      <w:r>
        <w:rPr>
          <w:rFonts w:ascii="Times New Roman" w:hAnsi="Times New Roman"/>
          <w:color w:val="000000"/>
          <w:sz w:val="20"/>
        </w:rPr>
        <w:t xml:space="preserve"> in March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CIRM Grants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DD CIRM Grant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August 18, 2024, CIRM awarded the Company up to $5.8 million under a CLIN2 grant award to support the clinical development of its AAV-based gene therapy, RP-A501 for the treatment of DD. Proceeds from the grant would help fund clinical trial costs as well as manufactured drug product for Phase 1/2 patients. During the three months ended March 31, 2026 and 2025, the Company received grants of $0 and $2.7 million, respectively, which were recorded as a reduction of R&amp;D expenses. Through March 31, 2026, the Company has received total RP-A501 grants of $5.0 million from CIRM. No additional milestones were met during the three months ended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February 2025, the Company enter into a consulting agreement with one of the Company’s board members, effective March 3, 2025, for services related to the Company’s research and development activities. As compensation for services rendered during 2025, the consultant received $125,000 and $125,000 of RSU’s valued as of the closing price on March 3, 2025 which cliff vested on December 31, 2025. The agreement ended on December 31, 2025. The board member was paid approximately $12,500 for the period ended March 31, 2025 for services provided under the consulting agreement.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February 2026, the Company entered into an agreement to receive services from a firm whose CEO and founder is the spouse of one the same board member. As compensation for services being rendered during 2026, the firm will receive a total of $65,000 with $32,500 paid in February 2026 at inception of the agreement and $32,500 to be paid upon completion of services.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401(k) Savings Plan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a defined contribution savings plan (the “Plan”) under Section 401(k) of the Internal Revenue Code of 1986. This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has elected the safe harbor match of 4% of employee contributions to the Plan, subject to certain limitations. The Company’s matching contribution for the three months ended March 31, 2026 and 2025, was $0.3 million and $0.5 million, respectively.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one reportable segment related to R&amp;D and commercial readiness of its gene therapies.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CODM is its Chief Executive Officer and the senior leadership team. The CODM manages the Company’s operations on an integrated basis for the purpose of allocating resources. When evaluating the Company’s financial performance, the CODM regularly reviews total expenses and expenses by significant areas to make decisions on a company-wide basis. Included in these expenses are R&amp;D expenses by program.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table below is a summary of the segment loss, including significant segment expenses:</w:t>
      </w:r>
    </w:p>
    <w:p>
      <w:pPr>
        <w:pStyle w:val="TextBody"/>
        <w:bidi w:val="0"/>
        <w:jc w:val="left"/>
        <w:rPr/>
      </w:pPr>
      <w:r>
        <w:rPr/>
        <w:t> </w:t>
      </w:r>
    </w:p>
    <w:tbl>
      <w:tblPr>
        <w:tblW w:w="6855" w:type="dxa"/>
        <w:jc w:val="left"/>
        <w:tblInd w:w="0" w:type="dxa"/>
        <w:tblLayout w:type="fixed"/>
        <w:tblCellMar>
          <w:top w:w="28" w:type="dxa"/>
          <w:left w:w="28" w:type="dxa"/>
          <w:bottom w:w="28" w:type="dxa"/>
          <w:right w:w="28" w:type="dxa"/>
        </w:tblCellMar>
      </w:tblPr>
      <w:tblGrid>
        <w:gridCol w:w="3776"/>
        <w:gridCol w:w="285"/>
        <w:gridCol w:w="997"/>
        <w:gridCol w:w="224"/>
        <w:gridCol w:w="285"/>
        <w:gridCol w:w="997"/>
        <w:gridCol w:w="291"/>
      </w:tblGrid>
      <w:tr>
        <w:trPr/>
        <w:tc>
          <w:tcPr>
            <w:tcW w:w="37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Non-commercial general and administrative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11,375</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general and administrative</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loss and Net loss</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CODM uses net loss to evaluate past spending and to guide decisions regarding future spending. Net loss is used to monitor budget versus actual results. The CODM also uses net loss in analysis of programs and along with the monitoring of budgeted versus actual results in assessing performance of the segment and in establishing manager’s compensation. The measure of segment assets is reported on the balance sheet as total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Restructuring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the Company’s Board of Directors approved a restructuring plan to prioritize investments in its AAV platform and reduce overall cash spending, which was communicated to employees before the end of June 2025. The restructuring included a reduction of the Company’s workforce by approximately 70 employees.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 result of the restructuring, the Company incurred aggregate charges of approximately $3.2 million in restructuring costs related to severance and employee termination costs that was paid out over multiple months.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accrued liabilities activity in connection with the restructuring plan for the three months ended March 31, 2026:</w:t>
      </w:r>
    </w:p>
    <w:p>
      <w:pPr>
        <w:pStyle w:val="TextBody"/>
        <w:bidi w:val="0"/>
        <w:jc w:val="left"/>
        <w:rPr/>
      </w:pPr>
      <w:r>
        <w:rPr/>
        <w:t> </w:t>
      </w:r>
    </w:p>
    <w:tbl>
      <w:tblPr>
        <w:tblW w:w="7007" w:type="dxa"/>
        <w:jc w:val="left"/>
        <w:tblInd w:w="0" w:type="dxa"/>
        <w:tblLayout w:type="fixed"/>
        <w:tblCellMar>
          <w:top w:w="28" w:type="dxa"/>
          <w:left w:w="28" w:type="dxa"/>
          <w:bottom w:w="28" w:type="dxa"/>
          <w:right w:w="28" w:type="dxa"/>
        </w:tblCellMar>
      </w:tblPr>
      <w:tblGrid>
        <w:gridCol w:w="4261"/>
        <w:gridCol w:w="909"/>
        <w:gridCol w:w="162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eliminated during the period</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accrual at March 31, 2026</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April 26, 2026, the Company entered into a definitive agreement to sell its PRV for $180 million. . The PRV was awarded by the FDA in connection with the accelerated approval of KRESLADI (marnetegragene autotemcel). The transaction remains subject to customary closing conditions, including the expiration or termination of the applicable waiting period under the Hart-Scott-Rodino Antitrust Improvements Act of 1976.</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3" w:name="managements_discussion_and_analysis"/>
      <w:bookmarkEnd w:id="13"/>
      <w:r>
        <w:rPr>
          <w:rFonts w:ascii="Times New Roman" w:hAnsi="Times New Roman"/>
          <w:b/>
          <w:color w:val="000000"/>
          <w:sz w:val="20"/>
        </w:rPr>
        <w:t>Item 2. Management’s Discussion and Analysis of Financial Condition and Results of Operations</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consolidated financial statements and related notes that are included elsewhere in this Quarterly Report on Form 10-Q and our annual report on Form 10-K, filed on February 26, 2026, with the SEC.</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Some of the statements contained in this discussion and analysis or set forth elsewhere in this quarterly report on Form 10-Q,including information with respect to our plans and strategy for our business, constitute forward 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 Item 1A“Risk Factors” and our other filings with the Securities and Exchange Commission (the "SEC").</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made as of the date of the filing of this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We caution readers not to place undue reliance on any forward-looking statements made by us, which speak only as of the date they are made.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Rocket Pharmaceuticals is a fully integrated commercial-stage biotechnology company focused on the development, manufacturing, and commercialization of genetic therapies for rare diseases. Our multi-platform approach is designed to develop gene therapies that address the underlying genetic causes of disease, with a strategic focus on inherited cardiovascular conditions and select hematologic disorders. Our platform is supported by in-house research and development capabilities and cGMP manufacturing facilities that enable end-to-end control of clinical production, process development, and scale-up for commercialization.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activities during the quarter reflect continued execution across its prioritized cardiovascular gene therapy programs, alongside the FDA accelerated approval of KRESLADI in March 2026 for the treatment of severe LAD-I in pediatric patients without a suitable human leukocyte antigen (HLA)-matched sibling donor. The Company is advancing commercial readiness activities, including treatment center onboarding, supply chain preparation, and coordination of vein-to-vein logistics, in advance of anticipated product availability. Given the ultra-rare patient population and anticipated phased commercial rollout, the Company does not expect KRESLADI to generate material revenue in the near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aim to develop and commercialize genetic therapies for rare diseases with significant unmet medical need. As a fully integrated, commercial-stage biotechnology company, we have the resources and opportunity to generate a portfolio of highly differentiated and potentially first-in-class or best-in-class genetic medicines.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July 2025, we announced a strategic corporate reorganization and pipeline prioritization initiative designed to maximize near-term value creation, extend our operational runway, and position the Company for sustainable long-term growth. The initiative focused resources on advancing our AAV cardiovascular gene therapy platform and supporting the submission of our response to the FDA’s CRL for KRESLADI. As part of this strategic realignment, we de-prioritized further development activities related to our FA and PKD programs and implemented a workforce reduction of approximately 30%.</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March 2026, KRESLADI (marnetegragene autotemcel) received accelerated approval from the FDA for the treatment of pediatric patients with severe LAD-I who do not have an available HLA-matched sibling donor. In connection with the approval, the Company was awarded a PRV and, in April 2026, entered into a definitive agreement to sell the PRV for $180 million. The Company intends to pursue a focused commercial strategy for KRESLADI that is appropriately scaled to the exceptionally small patient population affected by this ultra-rare disease.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strategy is built on several foundational pillars:</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pPr>
      <w:r>
        <w:rPr>
          <w:rFonts w:ascii="Times New Roman" w:hAnsi="Times New Roman"/>
          <w:b/>
          <w:color w:val="000000"/>
          <w:sz w:val="20"/>
        </w:rPr>
        <w:t>First-and-Best-in-Class Approach:</w:t>
      </w:r>
      <w:r>
        <w:rPr>
          <w:color w:val="000000"/>
        </w:rPr>
        <w:t xml:space="preserve"> </w:t>
      </w:r>
      <w:r>
        <w:rPr>
          <w:rFonts w:ascii="Times New Roman" w:hAnsi="Times New Roman"/>
          <w:color w:val="000000"/>
          <w:sz w:val="20"/>
        </w:rPr>
        <w:t>With our program selection, we apply a rigorous, disease-based selection approach to identify and prioritize programs: targeting complex genetic disorders with differentiated therapies that offer the potential to be first-, best-, or only-in-class, focusing on monogenic disease with on-target mechanisms of action to directly address the root cause of the disease to offer superior clinical profiles, and choosing indications with sizable market opportunities to enable broad patient impact and sustainable value creation.</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0"/>
        </w:rPr>
        <w:t>Strategic Focus on Rare Cardiovascular Indications:</w:t>
      </w:r>
      <w:r>
        <w:rPr>
          <w:color w:val="000000"/>
        </w:rPr>
        <w:t xml:space="preserve"> </w:t>
      </w:r>
      <w:r>
        <w:rPr>
          <w:rFonts w:ascii="Times New Roman" w:hAnsi="Times New Roman"/>
          <w:color w:val="000000"/>
          <w:sz w:val="20"/>
        </w:rPr>
        <w:t>Our near-term research and platform investments are focused on leveraging our AAV capabilities in rare cardiovascular diseases. Collectively, our clinical cardiovascular gene therapy programs target the major genetically defined causes of hypertrophic, arrhythmogenic, and dilated cardiomyopathies which represent a significant portion of inherited heart disease and impact more than 100,000 patients in the U.S. and EU.</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0"/>
        </w:rPr>
        <w:t>Late-Stage Science &amp; Innovation with Robust Capabilities:</w:t>
      </w:r>
      <w:r>
        <w:rPr>
          <w:color w:val="000000"/>
        </w:rPr>
        <w:t xml:space="preserve"> </w:t>
      </w:r>
      <w:r>
        <w:rPr>
          <w:rFonts w:ascii="Times New Roman" w:hAnsi="Times New Roman"/>
          <w:color w:val="000000"/>
          <w:sz w:val="20"/>
        </w:rPr>
        <w:t>We are advancing promising clinical programs designed to support regulatory approvals in the U.S. and Europe, with potential expansion into Asia and beyond. To support our clinical and future commercial endeavors, we are currently operating a ~100,000 sq. ft. U.S.-based in-house AAV cGMP manufacturing facility in Cranbury, New Jersey.</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Expertise &amp; Collaboration:</w:t>
      </w:r>
      <w:r>
        <w:rPr>
          <w:color w:val="000000"/>
        </w:rPr>
        <w:t xml:space="preserve"> </w:t>
      </w:r>
      <w:r>
        <w:rPr>
          <w:rFonts w:ascii="Times New Roman" w:hAnsi="Times New Roman"/>
          <w:color w:val="000000"/>
          <w:sz w:val="20"/>
        </w:rPr>
        <w:t>Our leadership team brings a proven track record of over 20 successful U.S. and international drug approvals and launches with expertise in cell and gene therapies and rare diseases. We collaborate closely with scientific experts, healthcare providers, payors, and patient communities to ensure our therapies address real-world needs.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near- and medium-term, we are focused on: </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Advancing our first-in-class product candidates targeting monogenic cardiovascular diseases with substantial unmet need from pre-IND to registrational trials.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Continuing to build and scale proprietary in-house analytics, process development, and manufacturing capabilities to support clinical and commercial supply.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Evaluating potential strategic partnerships or other transactions for certain non-core programs to enable continued development, regulatory approval, and commercialization.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medium- and long-term, pending favorable data, we plan to:</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Submit BLAs for certain of our clinical programs.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Expand our gene therapy platform to additional indications compatible with our technologies and core strategy.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Pursue potential eligibility for FDA priority review voucher programs.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 Therapy Overview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Gene therapy is a therapeutic approach in which an isolated gene sequence or segment of DNA is administered to a patient, most commonly for the purpose of treating a genetic disease that is caused by genetic mutations. Currently available therapies for many genetic diseases focus on administration of large proteins or enzymes and typically address only the symptoms of the disease. Gene therapy aims to address the disease-causing effects of absent or dysfunctional genes by delivering functional copies of the gene sequence directly into the patient’s cells, offering the potential for curing the genetic disease, rather than simply addressing symptoms.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developing gene therapy product candidates utilizing modified, non-pathogenic viruses as delivery vehicles. Viruses are inherently effective for gene delivery due to their natural ability to enter cells and deliver genetic material. In engineering our viral vectors, the native viral genes are removed and replaced with a functional copy of the missing or mutated gene responsible for a patient’s genetic disorder. This functional copy, known as the therapeutic gene or “transgene,” is introduced through a process known as transduction. Once modified, the virus is termed a “viral vector,” capable of delivering the transgene to targeted tissues or organs.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advancing gene therapy programs using two primary vector approaches: adeno-associated virus (AAV) vectors and lentiviral (LV) vectors. We believe our AAV- and LV-based programs have the potential to provide meaningful and durable therapeutic benefit by addressing the underlying genetic cause of disease. Our gene therapy product candidates are administered either (1) in vivo, in which an AAV vector is delivered directly to the patient, either systemically or through targeted tissue delivery, to enable in situ transduction of the desired cell populations, or (2) ex vivo, in which a patient’s hematopoietic stem cells (HSCs) are collected, genetically modified with an LV vector in a controlled laboratory environment, and then reinfused into the patient.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scientific advances, clinical progress, and the greater regulatory acceptance of gene therapy have created a promising environment to advance gene therapy products as these products are being designed to restore cell function and improve clinical outcomes, which in many cases include prevention of death at an early age. The FDA approval of several gene therapies in recent years indicates that there is a regulatory pathway forward for gene therapy products.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Pipeline Overview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chart below shows the current phases of development of our programs and product candidates:</w:t>
      </w:r>
    </w:p>
    <w:p>
      <w:pPr>
        <w:pStyle w:val="TextBody"/>
        <w:bidi w:val="0"/>
        <w:jc w:val="left"/>
        <w:rPr/>
      </w:pPr>
      <w:r>
        <w:rPr/>
        <w:t> </w:t>
      </w:r>
    </w:p>
    <w:p>
      <w:pPr>
        <w:pStyle w:val="TextBody"/>
        <w:bidi w:val="0"/>
        <w:jc w:val="left"/>
        <w:rPr/>
      </w:pPr>
      <w:r>
        <w:rPr/>
        <w:drawing>
          <wp:inline distT="0" distB="0" distL="0" distR="0">
            <wp:extent cx="6858000" cy="3438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438525"/>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global commercialization and development rights to all of these product candidates under internally developed intellectual property rights and royalty-bearing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Cardiovascular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Danon disease</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Danon disease (DD) is a rare X-linked inherited, multi-organ lysosomal-associated disorder with a devastating clinical course. The causative mutation has been identified in the gene encoding for lysosome-associated membrane protein, otherwise known as </w:t>
      </w:r>
      <w:r>
        <w:rPr>
          <w:rFonts w:ascii="Times New Roman" w:hAnsi="Times New Roman"/>
          <w:i/>
          <w:color w:val="000000"/>
          <w:sz w:val="20"/>
        </w:rPr>
        <w:t>LAMP2</w:t>
      </w:r>
      <w:r>
        <w:rPr>
          <w:rFonts w:ascii="Times New Roman" w:hAnsi="Times New Roman"/>
          <w:color w:val="000000"/>
          <w:sz w:val="20"/>
        </w:rPr>
        <w:t>, an important mediator of autophagy and primarily expressed in heart, skeletal muscle and brain tissue. This mutation results in the accumulation of autophagic vacuoles, predominantly in cardiac and skeletal muscles. Male patients typically die during adolescence or early adulthood from progressive heart failure in the absence of heart transplant. Along with severe cardiomyopathy, other DD-related manifestations can include skeletal muscle weakness and intellectual impairment. There are no specific therapies available for the treatment of DD and medications typically utilized for the treatment of HF are not believed to modify progression to end-stage HF. Patients with end-stage HF may undergo heart transplant, which currently is available to a minority of patients, is associated with significant short- and long-term complications and is not curative of the disorder in the long-term. It is estimated to have a prevalence of 15,000 to 30,000 patients in the U.S. and Europe.</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RP-A501 is our investigational gene therapy for the treatment of DD and consists of a recombinant adeno-associated serotype 9 (AAV9) capsid containing a full-length, wild-type version of the human </w:t>
      </w:r>
      <w:r>
        <w:rPr>
          <w:rFonts w:ascii="Times New Roman" w:hAnsi="Times New Roman"/>
          <w:i/>
          <w:color w:val="000000"/>
          <w:sz w:val="20"/>
        </w:rPr>
        <w:t>LAMP2B</w:t>
      </w:r>
      <w:r>
        <w:rPr>
          <w:rFonts w:ascii="Times New Roman" w:hAnsi="Times New Roman"/>
          <w:color w:val="000000"/>
          <w:sz w:val="20"/>
        </w:rPr>
        <w:t> transgene which is administered as a single intravenous (IV) infusion. RP-A501 holds FDA RMAT, Fast Track, Rare Pediatric, and Orphan Drug designations in the U.S. along with ATMP and PRIME designations in the EU.</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treated seven patients in the single-arm, open-label, multi-center Phase 1 clinical trial assessing the safety and preliminary efficacy of RP-A501, which enrolled adult/older adolescent and pediatric male DD patients. This includes a first cohort evaluating a low-dose (6.7e13 genome copies/kilogram ([gc/kg]; n=3) in adult/older adolescent patients aged 15 or greater, a second cohort evaluating a higher dose (1.1e14 gc/kg; n=2) in adult/older adolescent patients aged 15 or greater, and a pediatric cohort at a low dose level (6.7e13 gc/kg; n=2).</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conducted a variety of efficacy assessments in the Phase 1 clinical study to measure the prospect of benefit for patients. These assessments included the following:</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LAMP2</w:t>
      </w:r>
      <w:r>
        <w:rPr>
          <w:color w:val="000000"/>
        </w:rPr>
        <w:t xml:space="preserve"> </w:t>
      </w:r>
      <w:r>
        <w:rPr>
          <w:rFonts w:ascii="Times New Roman" w:hAnsi="Times New Roman"/>
          <w:color w:val="000000"/>
          <w:sz w:val="20"/>
        </w:rPr>
        <w:t xml:space="preserve">gene expression in endomyocardial biopsy samples is measured via both immunohistochemistry and Western blot and confirms the presence of </w:t>
      </w:r>
      <w:r>
        <w:rPr>
          <w:rFonts w:ascii="Times New Roman" w:hAnsi="Times New Roman"/>
          <w:i/>
          <w:color w:val="000000"/>
          <w:sz w:val="20"/>
        </w:rPr>
        <w:t xml:space="preserve">LAMP2 </w:t>
      </w:r>
      <w:r>
        <w:rPr>
          <w:rFonts w:ascii="Times New Roman" w:hAnsi="Times New Roman"/>
          <w:color w:val="000000"/>
          <w:sz w:val="20"/>
        </w:rPr>
        <w:t>protein in DD cardiac tissue following RP-A501 treatment.</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Measurements of heart thickness, most notably, left ventricular mass and maximal left ventricular wall </w:t>
        <w:br/>
        <w:t>thickness, indicate the degree of hypertrophy present in the heart</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High sensitivity troponin I or hs-TnI and BNP are blood-based evaluations and a key marker of HF and cardiac injury. Both are frequently elevated in DD patients and have been shown to be markedly elevated in patients with advanced stage disease.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KCCQ-12 is a patient-reported quality-of-life assessment that measures a patient’s perception of their HF symptoms, impact of disease on physical and social function, and the impact of their HF on overall health status and quality of life. Assessment scores range from 0 (very poor health status) to 100 (excellent health status). Changes in KCCQ-12 score of +/- 5 points are considered meaningful and have been shown to correlate with HF outcomes.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NYHA Functional Classification is the most commonly used HF classification system. NYHA Class I reflects the absence of clinical signs of HF, while NYHA Class II is where a patient exhibits a slight limitation of physical activity, is comfortable at rest, and ordinary physical activity results in fatigue, palpitation and/or dyspnea. NYHA Class III and IV are considered more severe or advanced HF.</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Histologic examination of endomyocardial biopsies via hematoxylin and eosin histology and electron microscopy is used to detect evidence of DD-associated tissue derangements, including the presence of autophagic vacuoles and disruption of myofibrillar architecture, each of which are characteristic of DD-related myocardial damage.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previously announced, a patient receiving therapy on the high dose cohort (1.1e14 gc/kg dose) had progressive HF and underwent a heart transplant at month five following therapy. This patient had more advanced disease than the four other adult/older adolescent patients who received treatment in the low and high dose cohorts, as evidenced by diminished baseline left ventricle ejection fraction (32%) on echocardiogram and markedly elevated left ventricle filling pressure prior to treatment. The patient’s clinical course was characteristic of DD progression. The patient is doing well post-transplant.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Based on the initial efficacy observed in the low dose cohort and to mitigate complement-mediated safety concerns observed in the high dose cohort (related to thrombotic microangiopathy or TMA) and in agreement with the FDA, the Phase 2 study was initiated at the low dose (6.7e13 gc/kg). Additional safety measures were implemented and are reflected in the updated trial protocol for Phase 1 and the protocol for our ongoing pivotal Phase 2 study. These measures include exclusion of patients with end-stage HF, and a refined immunomodulatory regimen involving transient B- and T-cell mediated inhibition, with emphasis on preventing complement activation, while also enabling lower steroid doses and earlier steroid taper, with all immunosuppressive therapy discontinued 2-3 months following administration of RP-A501.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November 2024, we announced positive results and presented long-term safety and efficacy results of the Phase 1 study at the American Heart Association’s 2024 Late-Breaking Science sessions and simultaneously published these data in the </w:t>
      </w:r>
      <w:r>
        <w:rPr>
          <w:rFonts w:ascii="Times New Roman" w:hAnsi="Times New Roman"/>
          <w:i/>
          <w:color w:val="000000"/>
          <w:sz w:val="20"/>
        </w:rPr>
        <w:t>New England Journal of Medicine</w:t>
      </w:r>
      <w:r>
        <w:rPr>
          <w:rFonts w:ascii="Times New Roman" w:hAnsi="Times New Roman"/>
          <w:color w:val="000000"/>
          <w:sz w:val="20"/>
        </w:rPr>
        <w:t>. The long-term safety and efficacy results from the Phase 1 RP-A501 study showed that RP-A501 was generally well tolerated and all evaluable DD patients demonstrated LAMP2 protein expression at 12 months (sustained up to 60 months) and reduction of left ventricular mass index by ≥10% at 12 months (sustained up to 54 months) after treatment. Results from the Phase 1 DD trial represent one of the first and most comprehensive investigational gene therapy datasets for any cardiac condition.</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6858000" cy="385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7625"/>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Data from the Phase 1 study (cut-off April 19, 2024) showed that RP-A501 in conjunction with a transient immunomodulatory regimen was generally well tolerated. Evidence of sustained clinically meaningful improvement was observed in pediatric patients followed up to 24 months and adult/adolescent patients followed up to 60 months.</w:t>
      </w:r>
    </w:p>
    <w:p>
      <w:pPr>
        <w:pStyle w:val="TextBody"/>
        <w:bidi w:val="0"/>
        <w:jc w:val="left"/>
        <w:rPr/>
      </w:pPr>
      <w:r>
        <w:rPr/>
        <w:t> </w:t>
      </w:r>
    </w:p>
    <w:p>
      <w:pPr>
        <w:pStyle w:val="TextBody"/>
        <w:bidi w:val="0"/>
        <w:jc w:val="left"/>
        <w:rPr/>
      </w:pPr>
      <w:r>
        <w:rPr/>
        <w:drawing>
          <wp:inline distT="0" distB="0" distL="0" distR="0">
            <wp:extent cx="6858000" cy="385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762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summary, all evaluable patients in the Phase 1 trial demonstrated:</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Cardiac </w:t>
      </w:r>
      <w:r>
        <w:rPr>
          <w:rFonts w:ascii="Times New Roman" w:hAnsi="Times New Roman"/>
          <w:i/>
          <w:color w:val="000000"/>
          <w:sz w:val="20"/>
        </w:rPr>
        <w:t>LAMP2</w:t>
      </w:r>
      <w:r>
        <w:rPr>
          <w:color w:val="000000"/>
        </w:rPr>
        <w:t xml:space="preserve"> </w:t>
      </w:r>
      <w:r>
        <w:rPr>
          <w:rFonts w:ascii="Times New Roman" w:hAnsi="Times New Roman"/>
          <w:color w:val="000000"/>
          <w:sz w:val="20"/>
        </w:rPr>
        <w:t>protein expression at 12 months and thereafter;</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Reduction or stabilization of left ventricular mass index (LVMI) – the median reduction from baseline to most recent visit of 24% (for the ongoing pivotal Phase 2 trial, a 10% reduction in LVMI and positive protein expression of Grade 1 or more are co-primary endpoints);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Preservation of normal left ventricle ejection fraction (LVEF);</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Reduction or stabilization of cardiac biomarkers (median cardiac troponin I [cTnI] and BNP reductions of 84% and 57%, respectively);</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Improvement in NYHA class from Class II at baseline to Class I at most recent follow-up visit;</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Improvements in KCCQ-12 scores (median improvement of 27 points) that persisted up to 54 months of follow-up;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Preliminary long-term follow-up assessments for Patient 1001 were positive for immunohistochemical staining and appear to show Grade 3 expression in the heart at the five-year timepoint.</w:t>
      </w:r>
    </w:p>
    <w:p>
      <w:pPr>
        <w:pStyle w:val="TextBody"/>
        <w:bidi w:val="0"/>
        <w:spacing w:before="240" w:after="283"/>
        <w:jc w:val="left"/>
        <w:rPr/>
      </w:pPr>
      <w:r>
        <w:rPr/>
        <w:drawing>
          <wp:inline distT="0" distB="0" distL="0" distR="0">
            <wp:extent cx="6858000" cy="3857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7625"/>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In September 2023, we announced that alignment was reached with the FDA on the global Phase 2 pivotal trial of RP-A501 for DD to support accelerated approval. The global, single-arm, multi-center Phase 2 pivotal trial is evaluating the efficacy and safety of RP-A501 in 12 patients with DD, including a pediatric safety run-in (n=2), with a natural history comparator and a dose level of 6.7 x 10</w:t>
      </w:r>
      <w:r>
        <w:rPr>
          <w:rFonts w:ascii="Times New Roman" w:hAnsi="Times New Roman"/>
          <w:color w:val="000000"/>
          <w:sz w:val="13"/>
        </w:rPr>
        <w:t>13</w:t>
      </w:r>
      <w:r>
        <w:rPr>
          <w:rFonts w:ascii="Times New Roman" w:hAnsi="Times New Roman"/>
          <w:color w:val="000000"/>
          <w:sz w:val="20"/>
        </w:rPr>
        <w:t>GC/kg. A global natural history study is also running concurrently to the Phase 2 pivotal trial and will serve as an external comparator.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support accelerated approval, the study will assess the efficacy of RP-A501 as measured by the biomarker-based co-primary endpoint consisting of improvements in LAMP2 protein expression (≥ Grade 1, as measured by immunohistochemistry), and reductions in LVMI.</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Secondary endpoints include the components of the primary endpoint (improvement in LAMP2 protein expression and reductions in LVMI), reductions in troponin and natriuretic peptide, KCCQ-12 and NYHA class, event free survival and treatment emergent safety events. These endpoints could support full approval with longer-term follow-up.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Drug product for the Phase 2 study is being produced in-house in our GMP manufacturing facility in Cranbury, NJ. We have successfully produced multiple commercial-grade Danon AAV cGMP batches since 2022. Furthermore, we have reached agreement with the FDA on the continued utilization of HEK-293 cell-based process through commercialization, our comparability approach and our potency assay.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January 2024, we received CTIS approval to include clinical trial sites in certain EU Member States.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September 2024, we announced completion of enrollment of 12 patients in the Phase 2 study across sites in the U.S. and EU.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May 2025, two patients participating in the Phase 2 pivotal study of RP-A501 each experienced an unexpected SAE. The SAEs involved clinical complications related to a capillary leak syndrome resulting in multi-organ damage; one patient died as a result of these complications following an acute systemic infection. Rocket voluntarily paused further Phase 2 study dosing in the U.S. and EU, and the FDA subsequently placed the trial on clinical hold on May 23, 2025 to allow for further evaluation. In August 2025, the FDA lifted the clinical hold on the Phase 2 pivotal study following an investigation which concluded that the SAEs were likely the result of the combination of the C3 component inhibitor introduced into the immunomodulation regimen and RP-A501. The FDA authorized resumption of the Phase 2 pivotal study with a recalibrated dose of 3.8 x 10¹³ GC/kg of RP-A501 along with the first three patients to be treated sequentially with a minimum four-week interval between each treatment. This adjusted dose aligns with the lower range of administered doses that were associated with efficacy across multiple biomarkers, electrocardiogram and clinical endpoints in the Phase 1 study, and has been determined as most likely to confer the safety and efficacy identified in the low-dose Phase 1 cohorts.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Prior to the clinical hold, six patients with Danon disease were treated with RP-A501 in the Phase 2 study. Further updates on the Phase 2 study can be expected following review of data from the next three patients.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Plakophilin-2 Arrhythmogenic Cardiomyopathy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Plakophilin-2 related Arrhythmogenic cardiomyopathy, otherwise known as PKP2-ACM is an inheritable cardiac disorder caused by pathogenic variants in the </w:t>
      </w:r>
      <w:r>
        <w:rPr>
          <w:rFonts w:ascii="Times New Roman" w:hAnsi="Times New Roman"/>
          <w:i/>
          <w:color w:val="000000"/>
          <w:sz w:val="20"/>
        </w:rPr>
        <w:t xml:space="preserve">PKP2 </w:t>
      </w:r>
      <w:r>
        <w:rPr>
          <w:rFonts w:ascii="Times New Roman" w:hAnsi="Times New Roman"/>
          <w:color w:val="000000"/>
          <w:sz w:val="20"/>
        </w:rPr>
        <w:t xml:space="preserve">gene that is characterized by a high propensity for arrhythmias and sudden cardiac death. Most commonly, the cardiomyopathy initially manifests in the right ventricular free wall, so the disease was originally termed arrhythmogenic right ventricular dysplasia/cardiomyopathy or ARVD/C. However, since left dominant and biventricular forms have also been observed, this has led more recently to the use of the term ACM. Mutations in the PKP2 gene comprise the most frequent genetically identified etiology of familial ACM. Patients with mutations in </w:t>
      </w:r>
      <w:r>
        <w:rPr>
          <w:rFonts w:ascii="Times New Roman" w:hAnsi="Times New Roman"/>
          <w:i/>
          <w:color w:val="000000"/>
          <w:sz w:val="20"/>
        </w:rPr>
        <w:t xml:space="preserve">PKP2 </w:t>
      </w:r>
      <w:r>
        <w:rPr>
          <w:rFonts w:ascii="Times New Roman" w:hAnsi="Times New Roman"/>
          <w:color w:val="000000"/>
          <w:sz w:val="20"/>
        </w:rPr>
        <w:t xml:space="preserve">are typically heterozygous and demonstrate reduced expression of the PKP2 protein in the myocardium. </w:t>
      </w:r>
      <w:r>
        <w:rPr>
          <w:rFonts w:ascii="Times New Roman" w:hAnsi="Times New Roman"/>
          <w:i/>
          <w:color w:val="000000"/>
          <w:sz w:val="20"/>
        </w:rPr>
        <w:t xml:space="preserve">PKP2 </w:t>
      </w:r>
      <w:r>
        <w:rPr>
          <w:rFonts w:ascii="Times New Roman" w:hAnsi="Times New Roman"/>
          <w:color w:val="000000"/>
          <w:sz w:val="20"/>
        </w:rPr>
        <w:t>encodes for the protein Plakophilin-2, which is a component of the desmosome, an intercellular complex involved in cell-cell adhesion. The PKP2 protein is also involved in transcriptional regulation of calcium signaling between cardiomyocytes. PKP2-ACM is most commonly diagnosed in young adults with the mean age presentation at 35 years old, and patients have a very high lifetime risk of ventricular arrhythmias, structural ventricular abnormalities, and SCD.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are no specific available medical therapies available that have been shown to be highly effective for ACM, and current treatment protocols follow standard ventricular arrhythmia and cardiomyopathy guidelines, which involve lifestyle modifications (i.e. exercise limitation) and include drug treatments such as beta blockers, anti-arrhythmics and diuretics. The use of these therapies is driven by the arrhythmia burden and severity of cardiomyopathy. These therapies do not modify the course of the disease and generally provide only symptomatic and/or palliative support. Upon diagnosis, a substantial percentage of patients receive an ICD for primary or secondary prevention of ventricular arrhythmias and SCD. Of note, ICDs are not curative, and breakthrough life-threatening arrythmias may persist with ongoing risk of death. Furthermore, ICDs do not prevent the progression to end-stage HF. ICD firings, although lifesaving, are physically and emotionally traumatic events. Patients whose condition progresses to end-stage HF are considered for cardiac transplantation which, while curative of underlying disease, is associated with significant morbidity and mortality. Hence, there exists a high unmet medical need in this population. PKP2-ACM is estimated to have a prevalence of 50,000 patients in the U.S. and the EU.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RP-A601 is our investigational gene therapy for the treatment of PKP2-ACM and consists of a recombinant adeno-associated serotype rh74 capsid containing a functional version of the human </w:t>
      </w:r>
      <w:r>
        <w:rPr>
          <w:rFonts w:ascii="Times New Roman" w:hAnsi="Times New Roman"/>
          <w:i/>
          <w:color w:val="000000"/>
          <w:sz w:val="20"/>
        </w:rPr>
        <w:t>PKP2</w:t>
      </w:r>
      <w:r>
        <w:rPr>
          <w:rFonts w:ascii="Times New Roman" w:hAnsi="Times New Roman"/>
          <w:color w:val="000000"/>
          <w:sz w:val="20"/>
        </w:rPr>
        <w:t xml:space="preserve"> transgene (AAVrh74.PKP2) which is administered as a single IV infusion. RP-A601 holds FDA RMAT and Fast Track and designations in the US and Orphan drug designations in both the U.S. and EU.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May 2023, we presented preclinical efficacy data for RP-A601 at the ASGCT 26th Annual Meeting. Nonclinical studies of RP-A601 demonstrated efficacy in altering the natural history of PKP2-driven ACM. 100% of PKP2 conditional knockout (cKO) animals treated with the study drug exhibited extended survival to the longest timepoint measured (5 months), reduced cardiac dilation and fibrofatty replacement/fibrosis of the myocardium, preserved left ventricular function, and mitigation of the arrhythmic phenotype. Untreated PKP2 cKO mice had a median survival of approximately one month. These results were published in January 2024 in the journal </w:t>
      </w:r>
      <w:r>
        <w:rPr>
          <w:rFonts w:ascii="Times New Roman" w:hAnsi="Times New Roman"/>
          <w:i/>
          <w:color w:val="000000"/>
          <w:sz w:val="20"/>
        </w:rPr>
        <w:t>Circulation: Genomic and Precision Medicine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Enrollment in the U.S. Phase 1 study is ongoing, and the trial remains open and actively enrolling to further characterize biological activity across a broader range of disease severity. The ongoing single-arm, open-label, multi-center Phase 1 study is evaluating the safety and preliminary efficacy of RP-A601 in adult PKP2-ACM patients with ICDs and overall high risk for arrhythmias. To date, three patients have been treated in the study and is assessing the impact of RP-A601 on PKP2 myocardial protein expression, cardiac biomarkers, and clinical predictors of life-threatening ventricular arrhythmias and SCD. Patients in the Phase 1 study received a single dose of RP-A601 starting at 8 x 10</w:t>
      </w:r>
      <w:r>
        <w:rPr>
          <w:rFonts w:ascii="Times New Roman" w:hAnsi="Times New Roman"/>
          <w:color w:val="000000"/>
          <w:sz w:val="13"/>
        </w:rPr>
        <w:t>13</w:t>
      </w:r>
      <w:r>
        <w:rPr>
          <w:rFonts w:ascii="Times New Roman" w:hAnsi="Times New Roman"/>
          <w:color w:val="000000"/>
          <w:sz w:val="20"/>
        </w:rPr>
        <w:t> GC/kg. We are continuing to work closely with the FDA to advance alignment on the design and potential endpoints of a pivotal Phase 2 trial of a pivotal Phase 2 trial intended to further evaluate the safety and efficacy of RP-A601 in this patient population.</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In May 2025, we presented preliminary data from the Phase 1 study of RP-A601 for adult patients with PKP2-ACM at the ASGCT 28</w:t>
      </w:r>
      <w:r>
        <w:rPr>
          <w:rFonts w:ascii="Times New Roman" w:hAnsi="Times New Roman"/>
          <w:color w:val="000000"/>
          <w:sz w:val="13"/>
        </w:rPr>
        <w:t>th</w:t>
      </w:r>
      <w:r>
        <w:rPr>
          <w:rFonts w:ascii="Times New Roman" w:hAnsi="Times New Roman"/>
          <w:color w:val="000000"/>
          <w:sz w:val="20"/>
        </w:rPr>
        <w:t xml:space="preserve"> Annual Meeting in the Late-Breaking Scientific Sessions. Initial data from the Phase 1 study (safety cut-off May 6, 2025; efficacy cut-off April 2025) showed that RP-A601 was generally well-tolerated with no dose-limiting toxicities observed in all patients followed for up to 12 months. Most treatment emergent adverse events were mild/moderate in severity and self-limited with only one patient experiencing an SAE which resolved without clinical sequelae within two months post-treatment, believed to be associated with the immunomodulatory regimen.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Cardiac biopsies showed RP-A601 increased PKP2 protein expression in all three patients. In the patients with low baseline PKP2 expression (n=2), improvements in PKP2 protein expression relative to total cell protein were approximately 110% and 398%, respectively, from baseline to six months follow-up. In all three patients, RP-A601 promoted desmosome localization of PKP2 and associated transmembrane interpolated disc proteins between 3 and 12 months after treatment. In addition, preliminary observations suggest potential improvement or stabilization in arrhythmia burden, cardiac function, and quality of life, although these findings are based on a limited number of patients and require further evaluation. Based on available data to date, we have selected 8 x 10¹³ GC/kg as the dose to be further evaluated in subsequent clinical development, and we do not currently plan to evaluate higher dose levels in this study.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BAG3 Dilated Cardiomyopathy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DCM is the most common form of cardiomyopathy and is characterized by progressive thinning of the walls of the heart resulting in enlarged heart chambers that are unable to pump blood. A familial association of DCM can be identified in 20-50% of DCM patients, with up to 40% of familial patients having an identifiable genetic cause. Mutations in the </w:t>
      </w:r>
      <w:r>
        <w:rPr>
          <w:rFonts w:ascii="Times New Roman" w:hAnsi="Times New Roman"/>
          <w:i/>
          <w:color w:val="000000"/>
          <w:sz w:val="20"/>
        </w:rPr>
        <w:t>BAG3</w:t>
      </w:r>
      <w:r>
        <w:rPr>
          <w:rFonts w:ascii="Times New Roman" w:hAnsi="Times New Roman"/>
          <w:color w:val="000000"/>
          <w:sz w:val="20"/>
        </w:rPr>
        <w:t xml:space="preserve"> gene are among the more common pathogenic genetic variants observed in familial DCM and these variants are highly penetrant, with approximately 80% of individuals with disease-causing genetic variants in the </w:t>
      </w:r>
      <w:r>
        <w:rPr>
          <w:rFonts w:ascii="Times New Roman" w:hAnsi="Times New Roman"/>
          <w:i/>
          <w:color w:val="000000"/>
          <w:sz w:val="20"/>
        </w:rPr>
        <w:t xml:space="preserve">BAG3 </w:t>
      </w:r>
      <w:r>
        <w:rPr>
          <w:rFonts w:ascii="Times New Roman" w:hAnsi="Times New Roman"/>
          <w:color w:val="000000"/>
          <w:sz w:val="20"/>
        </w:rPr>
        <w:t xml:space="preserve">gene developing DCM at &gt; 40 years of age. Pathogenic variants in </w:t>
      </w:r>
      <w:r>
        <w:rPr>
          <w:rFonts w:ascii="Times New Roman" w:hAnsi="Times New Roman"/>
          <w:i/>
          <w:color w:val="000000"/>
          <w:sz w:val="20"/>
        </w:rPr>
        <w:t xml:space="preserve">BAG3 </w:t>
      </w:r>
      <w:r>
        <w:rPr>
          <w:rFonts w:ascii="Times New Roman" w:hAnsi="Times New Roman"/>
          <w:color w:val="000000"/>
          <w:sz w:val="20"/>
        </w:rPr>
        <w:t xml:space="preserve">are estimated to cause from 2.3% to 6.7% of DCM cases in the U.S., Europe, and Japan. BAG3 protein is associated with a variety of cellular functions including cardiac contractility, protein quality control (as a co-chaperone), cardiomyocyte structural support and anti-apoptosis. BAG3-DCM leads to early onset, rapidly progressing heart failure and significant mortality and morbidity. The age of diagnosis in BAG3-DCM varies from adolescence to adulthood, with the mean age at clinical diagnosis in the mid-30s. The prevalence of BAG3-associated DCM in the U.S. is estimated to be as many as 30,000 individuals.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DCM represents a considerable unmet medical need and is the most common underlying diagnosis in patients undergoing heart transplantation. No currently approved therapies are specifically indicated to address BAG3-DCM. Medical management of patients with DCM follows the clinical guidelines for HF with reduced ejection fraction (HFrEF), including the use of beta-adrenergic receptor antagonists (beta-blockers), angiotensin converting enzyme (ACE) inhibitors, angiotensin receptor antagonists/neprilysin inhibitors, mineralocorticoid antagonists, and inhibitors of the sodium-glucose cotransporter-2 (SGLT2), along with antiarrhythmic medications, implanted defibrillator, and/or ablation procedures as indicated. Heart transplantation is the only potentially definitive therapy; however, it is not considered curative and is associated with considerable morbidity and mortality. An effective and safe gene therapy to restore normal BAG3 cardiac protein levels may represent a viable therapeutic option which could substantially reduce morbidity/mortality in BAG3-DCM patients. Understanding the genetic mechanism of disease creates the opportunity to develop precision-based therapies potentially corrective of the underlying molecular defect.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2022, we completed our acquisition of Renovacor which provided the Company with Renovacor’s recombinant AAV9-based gene therapy program designed to deliver a fully functional BAG3 gene to augment BAG3 protein levels in cardiomyocytes and slow or halt progression of BAG3-DCM. Initial proof of concept for AAV9-BAG3 has been demonstrated in studies of BAG3-knockout mouse models, which show treated mice have improved ejection fraction versus untreated knockout mice and comparable ejection fraction to walk test controls at timepoints 4- and 6-weeks post injection.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the Company received FDA clearance of an IND application for RP-A701, an AAVrh74-based gene therapy candidate for the treatment of BAG3-DCM. In July 2025, the FDA granted Fast Track designation to RP-A701 for the treatment of BAG3-DCM. The first-in-human Phase 1 clinical trial will be a multi-center, dose-escalation study designed to evaluate the safety, biological activity, and preliminary efficacy of RP-A701 in adults with BAG3-DCM.</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Hematology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Leukocyte Adhesion Deficiency-I</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LAD-I is a rare autosomal recessive disorder of white blood cell adhesion and migration caused by mutations in the </w:t>
      </w:r>
      <w:r>
        <w:rPr>
          <w:rFonts w:ascii="Times New Roman" w:hAnsi="Times New Roman"/>
          <w:i/>
          <w:color w:val="000000"/>
          <w:sz w:val="20"/>
        </w:rPr>
        <w:t>ITGB2</w:t>
      </w:r>
      <w:r>
        <w:rPr>
          <w:rFonts w:ascii="Times New Roman" w:hAnsi="Times New Roman"/>
          <w:color w:val="000000"/>
          <w:sz w:val="20"/>
        </w:rPr>
        <w:t xml:space="preserve"> gene, which encodes the beta-2 integrin component, CD18. Deficiency of CD18 impairs the ability of neutrophils (a subset of infection-fighting white blood cells) to exit the bloodstream and migrate to sites of infection. As with many rare diseases, precise estimates of incidence are difficult to determine; however, several hundred cases across the spectrum of severity have been reported to date. Most patients are believed to have the severe form of the disease, which is characterized by recurrent, life-threatening infections and substantial infant mortality in the absence of allogeneic hematopoietic stem cell transplantation (HSCT). Mortality for severe LAD-I has been reported to be 60% to 75% by age two without allogeneic HSCT.</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KRESLADI, formerly known as RP-L201 (marnetegragene autotemcel), is our gene therapy consisting of autologous (patient-derived) hematopoietic stem cells genetically modified with a LV to deliver a functional copy of the </w:t>
      </w:r>
      <w:r>
        <w:rPr>
          <w:rFonts w:ascii="Times New Roman" w:hAnsi="Times New Roman"/>
          <w:i/>
          <w:color w:val="000000"/>
          <w:sz w:val="20"/>
        </w:rPr>
        <w:t>ITGB2</w:t>
      </w:r>
      <w:r>
        <w:rPr>
          <w:rFonts w:ascii="Times New Roman" w:hAnsi="Times New Roman"/>
          <w:color w:val="000000"/>
          <w:sz w:val="20"/>
        </w:rPr>
        <w:t xml:space="preserve"> gene. The program has received RMAT, Rare Pediatric Disease, and Fast Track designations from the FDA, as well as PRIME and ATMP designations in the European Union, and Orphan Drug designations in both the U.S. and EU. KRESLADI was in-licensed from the Centro de Investigaciones Energéticas, Medioambientales y Tecnológicas (CIEMAT), Centro de Investigación Biomédica en Red de Enfermedades Raras, and Instituto de Investigación Sanitaria Fundación Jiménez Díaz. The lentiviral vector was developed in collaboration with University College London and CIEMAT.</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An open-label, single-arm, global Phase 1/2 registration-enabling clinical trial of RP-L201 in severe LAD-I treated nine patients. Updated follow-up data presented in May 2024 at the ASGCT 27th Annual Meeting (data cut-off July 24, 2023) included 18- to 45-month follow-up. Compared to pre-treatment history, treated patients demonstrated reductions in significant infections requiring hospitalization or intravenous antimicrobials, along with evidence of resolution of LAD-I-related skin and periodontal lesions and restoration of wound healing. RP-L201 was generally well tolerated, with no new treatment-related safety events reported. All treated patients were alive without the need for allogeneic transplant at last follow-up, including those enrolled at less than 12 months of age who surpassed 24 months without transplant. Clinical outcome data from the nine patients treated with KRESLADI were published in the </w:t>
      </w:r>
      <w:r>
        <w:rPr>
          <w:rFonts w:ascii="Times New Roman" w:hAnsi="Times New Roman"/>
          <w:i/>
          <w:color w:val="000000"/>
          <w:sz w:val="20"/>
        </w:rPr>
        <w:t xml:space="preserve">New England Journal of Medicine </w:t>
      </w:r>
      <w:r>
        <w:rPr>
          <w:rFonts w:ascii="Times New Roman" w:hAnsi="Times New Roman"/>
          <w:color w:val="000000"/>
          <w:sz w:val="20"/>
        </w:rPr>
        <w:t>in May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September 2023, the FDA accepted a Biologics License Application (BLA) for RP-L201 and granted priority review, with an initial PDUFA date of March 31, 2024. In February 2024, the FDA extended the review period by three months to June 30, 2024 to allow additional time to review clarifying CMC information. In June 2024, the FDA issued a complete response letter (CRL) requesting limited additional CMC information. In October 2025, the FDA accepted the Company’s resubmission of the BLA and assigned a PDUFA date of March 28, 2026.</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On March 26, 2026, the FDA granted accelerated approval to KRESLADI for the treatment of severe LAD-I in pediatric patients with biallelic mutations in the </w:t>
      </w:r>
      <w:r>
        <w:rPr>
          <w:rFonts w:ascii="Times New Roman" w:hAnsi="Times New Roman"/>
          <w:i/>
          <w:color w:val="000000"/>
          <w:sz w:val="20"/>
        </w:rPr>
        <w:t>ITGB2</w:t>
      </w:r>
      <w:r>
        <w:rPr>
          <w:rFonts w:ascii="Times New Roman" w:hAnsi="Times New Roman"/>
          <w:color w:val="000000"/>
          <w:sz w:val="20"/>
        </w:rPr>
        <w:t xml:space="preserve"> gene who do not have a suitable HLA-matched sibling donor. The approval was based on an increase in neutrophil CD18 and CD11a surface expression. Continued approval may be contingent upon verification and description of clinical benefit in a confirmatory trial(s).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April 26, 2026, the Company entered into a definitive agreement to sell its PRV that was originally issued in connection with the FDA’s approval of the BLA for KRESLADI for $180 million. The transaction is subject to customary closing conditions, including the expiration or termination of the applicable waiting period under the Hart-Scott-Rodino Antitrust Improvements Act of 1976.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Fanconi Anemia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FA is a rare and life-threatening DNA-repair disorder, characterized by bone marrow failure, cancer predisposition, and congenital malformations. Patients with FA have a genetic defect that prevents the normal repair of genes and chromosomes within blood cells in the bone marrow. The prevalence of FA in the U.S. and the EU is estimated to be approximately 5,500 to 7,000 patients.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Although improvements in allogeneic (donor-mediated) HSCT, currently the most frequently utilized therapy for FA, have resulted in frequent hematologic correction of the disorder, HSCT is associated with both acute and long-term risks, including transplant-related mortality, graft failure, and graft versus host disease, a sometimes fatal side effect of allogeneic transplant characterized by painful ulcers in the GI tract, liver toxicity and skin rashes, as well as increased risk of subsequent cancers. Our gene therapy program in FA is designed to enable a minimally toxic hematologic correction using a patient’s own stem cells early in the disease course and administered without conditioning. We believe that the development of a broadly applicable autologous gene therapy can be transformative for these patients. In light of the efficacy seen in non-conditioned patients, the addressable annual market opportunity is now believed to be 400 to 500 patients collectively in the U.S. and EU.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RP-L102 is our investigational LV vector-based gene therapy for the treatment of FA. RP-L102’s LV carries the </w:t>
      </w:r>
      <w:r>
        <w:rPr>
          <w:rFonts w:ascii="Times New Roman" w:hAnsi="Times New Roman"/>
          <w:i/>
          <w:color w:val="000000"/>
          <w:sz w:val="20"/>
        </w:rPr>
        <w:t>FANCA</w:t>
      </w:r>
      <w:r>
        <w:rPr>
          <w:rFonts w:ascii="Times New Roman" w:hAnsi="Times New Roman"/>
          <w:color w:val="000000"/>
          <w:sz w:val="20"/>
        </w:rPr>
        <w:t xml:space="preserve"> gene as part of the PGK-FANCA-WPRE expression cassette which includes a phosphoglycerate kinase (PKG) promoter and an optimized woodchuck hepatitis virus post transcriptional regulatory element (WPRE). The Phase 2 study of RP-L102 for the treatment of FA type A without the use of myeloablative conditioning treated a total of 14 patients from the U.S. and EU. Patients received a single intravenous infusion of RP-L102 that utilizes fresh cells and an improved process which incorporates a modified stem cell enrichment process, transduction enhancers, as well as commercial-grade vector and final drug product. The Company holds FDA RMAT, Rare Pediatric, and Fast Track designations in the U.S., PRIME and ATMP designations in the EU, and Orphan Drug designations in both regions for the program.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Resistance to mitomycin-C, a DNA damaging agent, in bone marrow stem cells at a minimum time point of one year post treatment is the primary endpoint for the Phase 2 study. Per agreement with the FDA and EMA, engraftment leading to bone marrow restoration exceeding a 10% mitomycin-C resistance threshold could support a marketing application for approval.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May 2024, we provided an incremental clinical update at the ASGCT 27th Annual Meeting (data cut-off September 11, 2023). RP-L102 continued to demonstrate sustained genetic correction, phenotypic correction, and hematologic stability in 8 of 12 patients with greater than 12 months of follow-up. RP-L102 continued to be well tolerated with no significant safety signals.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July 2025, the Company is no longer allocating additional internal resources towards regulatory filings and commercial activities for RP-L102 and subsequently is no longer pursuing BLA and EMA submissions for RP-L102. The Company is actively exploring external partnership options to provide a path forward for RP-L102 and the FA community. This decision was based solely on business and strategic considerations and does not reflect any concerns regarding the safety, efficacy, or quality of the therapy.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Pyruvate Kinase Deficiency</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PKD is a rare, autosomal recessive, monogenic red blood cell disorder resulting from a mutation in the </w:t>
      </w:r>
      <w:r>
        <w:rPr>
          <w:rFonts w:ascii="Times New Roman" w:hAnsi="Times New Roman"/>
          <w:i/>
          <w:color w:val="000000"/>
          <w:sz w:val="20"/>
        </w:rPr>
        <w:t>PKLR</w:t>
      </w:r>
      <w:r>
        <w:rPr>
          <w:rFonts w:ascii="Times New Roman" w:hAnsi="Times New Roman"/>
          <w:color w:val="000000"/>
          <w:sz w:val="20"/>
        </w:rPr>
        <w:t xml:space="preserve"> gene encoding for the pyruvate kinase enzyme, a key component of the red blood cell glycolytic pathway. Mutations in the </w:t>
      </w:r>
      <w:r>
        <w:rPr>
          <w:rFonts w:ascii="Times New Roman" w:hAnsi="Times New Roman"/>
          <w:i/>
          <w:color w:val="000000"/>
          <w:sz w:val="20"/>
        </w:rPr>
        <w:t>PKLR</w:t>
      </w:r>
      <w:r>
        <w:rPr>
          <w:rFonts w:ascii="Times New Roman" w:hAnsi="Times New Roman"/>
          <w:color w:val="000000"/>
          <w:sz w:val="20"/>
        </w:rPr>
        <w:t xml:space="preserve"> gene result in increased red blood cell destruction and potentially life-threatening anemia with a significant impact on quality of life. PKD has an estimated prevalence of 4,000 to 8,000 patients in the U.S. and Europe.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RP-L301 is our investigational gene therapy that contains autologous hematopoietic stem cells that have been genetically modified with a lentiviral vector to contain a functional copy of the </w:t>
      </w:r>
      <w:r>
        <w:rPr>
          <w:rFonts w:ascii="Times New Roman" w:hAnsi="Times New Roman"/>
          <w:i/>
          <w:color w:val="000000"/>
          <w:sz w:val="20"/>
        </w:rPr>
        <w:t>PKLR</w:t>
      </w:r>
      <w:r>
        <w:rPr>
          <w:rFonts w:ascii="Times New Roman" w:hAnsi="Times New Roman"/>
          <w:color w:val="000000"/>
          <w:sz w:val="20"/>
        </w:rPr>
        <w:t xml:space="preserve"> gene for the treatment of PKD. The Company holds FDA RMAT and Fast Track designations in the U.S., EMA PRIME designation in the EU, and Orphan Drug designation in both regions for the program. RP-L301 was in-licensed from CIEMAT, Centro de Investigación Biomédica en Red de Enfermedades Raras (CIBERER) and Instituto de Investigación Sanitaria de la Fundación Jiménez Díaz (IIS-FJD).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global Phase 1 open-label, single-arm, clinical study with 2 adult patients and 2 pediatric patients (age 8-17) in the U.S. and Europe assessed the safety, tolerability, and preliminary activity of RP-L301. Stanford served as the site in the U.S. for adult and pediatric patients, HNJ served as the lead site in Europe for pediatrics, and Hospital Universitario Fundación Jiménez Díaz served as the lead site in Europe for adult patients.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February 2024, we presented further clinical updates at the ASGCT 27th Annual Meeting (data cut-off February 5, 2024), which included 36 months of follow-up on the two adult patients and 12 months of follow-up on the two pediatric patients. Sustained and clinically meaningful hemoglobin improvement was observed in all patients including hemoglobin normalization in three of four patients. No patients have required red blood cell transfusions following neutrophil engraftment. Improvements in hemoglobin supported by improved markers of hemolysis and quality of life have been observed. RP-L301 remains well-tolerated, with no drug-related serious adverse events. Insertion site analyses in the peripheral blood and bone marrow for both adult patients through 36 months post-RP-L301 continued to demonstrate highly polyclonal patterns with no clonal dominance or insertional mutagenesis.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Based on positive safety and efficacy data from the Phase 1 study, we have aligned with the FDA on the pivotal study design to support accelerated approval with a 10-patient, single-arm Phase 2 pivotal trial with a primary endpoint of ≥1.5 point hemoglobin Hgb improvement at 12 months. However, the Company is no longer allocating internal resources towards RP-L301 and does not plan to initiate enrollment in a Phase 2 RP-L301 study at this time. Similar to our FA program, we are actively exploring external partnership options to provide a path forward for RP-L301 and the PKD community.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Future Opportunities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to the programs specified in this Quarterly Report, we are also conducting exploratory preclinical R&amp;D. Research focus areas include the development of new candidates following our strategy outlined in “Overview” section.</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cGMP Manufacturing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a 103,720 square foot manufacturing facility located in Cranbury, New Jersey. This facility supports clinical development of our pipeline of AAV gene therapy product candidates from discovery through pivotal trials, with space for potential future expansion and commercialization.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the Company, business planning, raising capital, acquiring or discovering product candidates and securing related intellectual property rights, conducting discovery and R&amp;D activities for our product candidates, and preparing for commercialization.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KRESLADI was approved by the FDA in March 2026 under the accelerated approval pathway; however, we have not yet generated revenue from product sales. Given the ultra-rare patient population and anticipated phased commercial rollout, we do not expect KRESLADI to generate material revenue in the near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inception through March 31, 2026, we have raised net cash proceeds of approximately $1.2 billion from investors through equity and convertible debt financings to fund our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April 2026, the Company entered into an agreement to sell its PRV for $180 million, providing non-dilutive capital to support advancement of its cardiovascular gene therapy pipeline.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not generated revenue from product sales to date. KRESLADI was approved by the FDA in March 2026 under the accelerated approval pathway; however, given the ultra-rare patient population and anticipated phased commercial rollout, we do not expect KRESLADI to generate material revenue in the near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our development efforts for additional product candidates are successful and result in regulatory approvals or commercialization through third-party collaborations, we may generate revenue in the future from product sales or other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R&amp;D program expenses consist of both internal and external costs incurred for the development of our product candidates. These expenses include:</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incurred under agreements with research institutions and consultants that conduct R&amp;D activities including process development, preclinical, and clinical activities on our behalf;</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related to process development, production of preclinical and clinical materials, including fees paid to contract manufacturers, and manufacturing input costs for use in internal manufacturing processes;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consultants supporting process development and regulatory activities;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costs related to in-licensing of rights to develop and commercialize our product candidate portfolio.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recognize external development costs based on contractual payment schedules aligned with program activities, invoices for work incurred, and milestones that correspond with costs incurred by the third parties. Nonrefundable advance payments for goods or services to be received in the future for use in R&amp;D activities are recorded as prepaid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direct R&amp;D expenses are tracked on a program-by-program basis for product candidates and consist primarily of external costs, such as research collaborations and third-party manufacturing agreements associated with our preclinical research, process development, manufacturing, and clinical development activities. Our direct R&amp;D expenses by program also include fees incurred under license agreements. Our personnel, non-program and unallocated program expenses include costs associated with activities performed by our internal R&amp;D organization and generally benefit multiple programs. These costs are not separately allocated by product candidate and consist primarily of:</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salaries and personnel-related costs, including benefits, travel, and stock-based compensation, for our scientific personnel performing R&amp;D activities;</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expense, and laboratory supplies and equipment used for internal R&amp;D activities.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allocate salary and benefit costs directly related to specific programs. We do not allocate personnel-related discretionary bonus or stock-based compensation costs, costs associated with our general discovery platform improvements, depreciation or other indirect costs that are deployed across multiple projects under development and, as such, the costs are separately classified as other R&amp;D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R&amp;D expenses tracked on a program-by-program basis as well as by type and nature of expense for the three months ended March 31, 2026 and 2025:</w:t>
      </w:r>
    </w:p>
    <w:p>
      <w:pPr>
        <w:pStyle w:val="TextBody"/>
        <w:bidi w:val="0"/>
        <w:jc w:val="left"/>
        <w:rPr/>
      </w:pPr>
      <w:r>
        <w:rPr/>
        <w:t> </w:t>
      </w:r>
    </w:p>
    <w:tbl>
      <w:tblPr>
        <w:tblW w:w="8595" w:type="dxa"/>
        <w:jc w:val="left"/>
        <w:tblInd w:w="0" w:type="dxa"/>
        <w:tblLayout w:type="fixed"/>
        <w:tblCellMar>
          <w:top w:w="28" w:type="dxa"/>
          <w:left w:w="28" w:type="dxa"/>
          <w:bottom w:w="28" w:type="dxa"/>
          <w:right w:w="28" w:type="dxa"/>
        </w:tblCellMar>
      </w:tblPr>
      <w:tblGrid>
        <w:gridCol w:w="5516"/>
        <w:gridCol w:w="306"/>
        <w:gridCol w:w="982"/>
        <w:gridCol w:w="212"/>
        <w:gridCol w:w="306"/>
        <w:gridCol w:w="982"/>
        <w:gridCol w:w="291"/>
      </w:tblGrid>
      <w:tr>
        <w:trPr/>
        <w:tc>
          <w:tcPr>
            <w:tcW w:w="55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Danon Disease (AAV) RP-A501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Plakophilin-2 Arrhythmogenic Cardiomyopathy (AAV) RP-A601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Leukocyte Adhesion Deficiency (LV) RP-L201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Fanconi Anemia (LV) RP-L102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Pyruvate Kinase Deficiency (LV) RP-L301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product candidates</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expenses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 compensation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Laboratory and related expenses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Professional fees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expenses</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research and development expenses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576"/>
        <w:jc w:val="left"/>
        <w:rPr>
          <w:rFonts w:ascii="Times New Roman" w:hAnsi="Times New Roman"/>
          <w:color w:val="000000"/>
          <w:sz w:val="20"/>
        </w:rPr>
      </w:pPr>
      <w:r>
        <w:rPr>
          <w:rFonts w:ascii="Times New Roman" w:hAnsi="Times New Roman"/>
          <w:color w:val="000000"/>
          <w:sz w:val="20"/>
        </w:rPr>
        <w:t>We cannot determine with certainty the duration and costs to complete current or future clinical studies of product candidates or if, when, or to what extent we will generate revenues from the commercialization and sale of any of our product candidates that obtain regulatory approval. We may never succeed in achieving regulatory approval for any of our product candidates. The duration, costs, and timing of clinical studies and development of product candidates will depend on a variety of factors, including:</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rate of progress, and expense of ongoing clinical studies as well as any clinical studies and other R&amp;D activities that we undertake in the future;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future clinical study results;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uncertainties in clinical study enrollment rates;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changing standards for regulatory approval;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expect R&amp;D expenses to be significant for the foreseeable future as we continue to invest in R&amp;D activities related to developing product candidates, including investments in manufacturing, as our programs advance into later stages of development and as we conduct additional clinical trials. The process of conducting the necessary clinical research to obtain regulatory approval is costly and time-consuming, and the successful development of product candidates is highly uncertain. As a result, we are unable to determine the duration and completion costs of R&amp;D projects or when and to what extent we will generate revenue from the commercialization and sale of any of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future R&amp;D expenses will depend on the clinical success of our product candidates, as well as ongoing assessments of the commercial potential of such product candidates. In addition, we cannot forecast with any degree of certainty which product candidates may be subject to future collaborations, when such arrangements will be secured, if at all, and to what degree such arrangements would affect our development plans and capital requirements. We expect our R&amp;D expenses to increase for the foreseeable future as we seek further development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successful development and commercialization of our product candidates is highly uncertain. This is due to the numerous risks and uncertainties associated with product development and commercialization, including the uncertainty of:</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progress, outcome and costs of our clinical trials and other R&amp;D activities;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efficacy and potential advantages of our product candidates compared to alternative treatments, including any standard of care;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market acceptance of our product candidates;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and changing government regulation; and</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receipt, and terms of any marketing approvals.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that we may develop could mean a significant change in the costs and timing associated with the development of our product candidates. For example, if the FDA or another regulatory authority were to require us to conduct clinical trials or other testing beyond those that we currently contemplate for the completion of clinical development of any of our product candidates that we may develop or if we experience significant delays in enrollment in any of our clinical trials, we could be required to expend significant additional financial resources and time on the completion of clinical development of that product candidate.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 costs for personnel, including stock-based compensation and travel expenses for our employees in commercial, executive, operational, finance, legal, business development, and human resource functions. In addition, other significant general and administrative expenses include professional fees for legal, consulting, investor and public relations, auditing, and tax services as well as other expenses for rent and maintenance of facilities, insurance and other supplies used in general and administrative activities. We expect general and administrative expenses to be significant for the foreseeable future due to anticipated significant headcount to support the continued advancement of our product candidates and our progression to commercial operations. We also anticipate that as we continue to operate as a public company with increasing complexity, we will continue to incur increased accounting, audit, legal, regulatory, compliance and director and officer insurance costs as well as investor and public relations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2025, the Company’s Board of Directors approved a restructuring plan to reduce the Company’s workforce and incurred aggregate charges of approximately $3.2 million in restructuring expenses, consisting of employee severance payments and other termination benefits.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Interest expense for the three months ended March 31, 2026 and 2025 was related to our financing lease obligation for our Cranbury, NJ facility.</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Interest and Other Income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Interest and other income for the three months ended March 31, 2026 was related to interest earned from investments and cash equivalents. Interest and other income for the three months ended March 31, 2025 was related to interest earned from investments and cash equivalents and reduced fair value of warrant liability.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estimates in the preparation of our consolidated financial statements during the three months ended March 31, 2026 compared to those disclosed in our 2025 Form 10-K.</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results of operations, in thousands, for each of the periods presented:</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496"/>
        <w:gridCol w:w="346"/>
        <w:gridCol w:w="266"/>
        <w:gridCol w:w="931"/>
        <w:gridCol w:w="210"/>
        <w:gridCol w:w="184"/>
        <w:gridCol w:w="266"/>
        <w:gridCol w:w="931"/>
        <w:gridCol w:w="166"/>
        <w:gridCol w:w="146"/>
        <w:gridCol w:w="211"/>
        <w:gridCol w:w="736"/>
        <w:gridCol w:w="311"/>
      </w:tblGrid>
      <w:tr>
        <w:trPr/>
        <w:tc>
          <w:tcPr>
            <w:tcW w:w="3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17,057</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R&amp;D expenses decreased $4.5 million to $31.5 million for the three months ended March 31, 2026, compared to the three months ended March 31, 2025. The decrease in R&amp;D expenses was primarily driven by decreases in manufacturing and development and direct material costs of $5.8 million, stock-based and other compensation and benefits expense of $2.0 million due to decreased R&amp;D headcount. The decrease was partially offset by increases in clinical trial expenses of $2.8 million and professional fees of $0.6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G&amp;A expenses decreased $11.4 million to $17.1 million for the three months ended March 31, 2026, compared to the three months ended March 31, 2025. The decrease in G&amp;A expenses was primarily driven by decreases in legal expenses of $5.7 million as a result of legal litigation settlement in 2025, decrease in commercial preparation related expenses of $4.6 million due to lower headcount and lower spending on commercial launch, and stock-based and other compensation and benefit expenses of $2.8 million due to decreased G&amp;A headcount. The decrease was partially offset by milestone related expenses of $2.4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income decreased $2.1 million to $0.9 million for the three months ended March 31, 2026, compared to the three months ended March 31, 2025. The decrease in other income was primarily driven by decreases in interest and other income, net, of $1.2 million and accretion of discount on investments, net, of $1.0 million due to lower investment balance and interest rates year over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not generated any revenue and have incurred losses since inception. Operations of the Company are subject to certain risks and uncertainties, including, among others, those related to drug candidate development, technology and data security, patents and proprietary rights, our lack of commercial manufacturing marketing or sales experience, dependency on key personnel, compliance with government regulations and the need to obtain additional financing. Drug candidates currently under development will require significant additional R&amp;D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drug candidates are in the development and clinical stage. There can be no assurance that our R&amp;D will be successfully completed, that adequate protection for our intellectual property will be obtained, that any products developed will obtain necessary government approval or that any approved products will be commercially viable. Even if our product development efforts are successful, it is uncertain when, if ever, we will generate significant revenue from product sales. We operate in an environment of rapid change in technology and substantial competition from pharmaceutical and biotechnology companies.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consolidated financial statements have been prepared on the basis of continuity of operations, realization of assets and the satisfaction of liabilities in the ordinary course of business. Rocket has incurred net losses and negative cash flows from its operations each year since inception. We incurred net losses of $47.6 million for the three months ended March 31, 2026, and $223.1 million for the year ended December 31, 2025. We have experienced negative cash flows from operations and as of March 31, 2026 and December 31, 2025, we had an accumulated deficit of $1.49 billion and $1.44 billion, respectively. As of March 31, 2026, we had $144.4 million of cash, cash equivalents and investments. In April 2026, we entered into an agreement to sell our PRV for $180 million, providing non-dilutive capital to support advancement of the Company’s cardiovascular gene therapy pipeline and extend its operational runway. We believe that, based on our current operating plan, our existing cash, cash equivalents, and investments, together with the anticipated proceeds from the sale of the Company’s PRV, will be sufficient to fund our operating expenses and capital expenditure requirements into the second quarter of 2028. Since inception, we have financed our operations primarily through the sale of equity securities and continue to manage our capital resources in a disciplined manner with a focus on operational execution, strategic prioritization, and long-term sustainability.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longer term, our future viability is dependent on our ability to generate cash from operating activities or to raise additional capital to finance our operations.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Our failure to raise capital as and when needed could have a negative impact on our financial condition and ability to pursue our business strategies.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cash flows from operating, investing and financing activities, in thousands, for each of the periods presented:</w:t>
      </w:r>
    </w:p>
    <w:p>
      <w:pPr>
        <w:pStyle w:val="TextBody"/>
        <w:bidi w:val="0"/>
        <w:jc w:val="left"/>
        <w:rPr/>
      </w:pPr>
      <w:r>
        <w:rPr/>
        <w:t> </w:t>
      </w:r>
    </w:p>
    <w:tbl>
      <w:tblPr>
        <w:tblW w:w="7741" w:type="dxa"/>
        <w:jc w:val="left"/>
        <w:tblInd w:w="0" w:type="dxa"/>
        <w:tblLayout w:type="fixed"/>
        <w:tblCellMar>
          <w:top w:w="28" w:type="dxa"/>
          <w:left w:w="28" w:type="dxa"/>
          <w:bottom w:w="28" w:type="dxa"/>
          <w:right w:w="28" w:type="dxa"/>
        </w:tblCellMar>
      </w:tblPr>
      <w:tblGrid>
        <w:gridCol w:w="4741"/>
        <w:gridCol w:w="272"/>
        <w:gridCol w:w="948"/>
        <w:gridCol w:w="213"/>
        <w:gridCol w:w="272"/>
        <w:gridCol w:w="1084"/>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1"/>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Operating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March 31, 2026, operating activities used $45.4 million of cash and cash equivalents, primarily resulting from our net loss of $47.6 million offset by net non-cash charges of $9.6 million, including non-cash stock-based compensation expense of $8.5 million, depreciation and amortization expense of $2.1 million, partially offset by accretion of discount on investments of $1.0 million. Changes in our operating assets and liabilities for the three months ended March 31, 2026 included a decrease in accounts payable and accrued expenses of $5.7 million and an increase in our prepaid expenses of $1.6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March 31, 2025, operating activities used $55.8 million of cash and cash equivalents, primarily resulting from our net loss of $61.3 million offset by net non-cash charges of $11.2 million, including non-cash stock-based compensation expense of $10.3 million, depreciation and amortization expense of $3.0 million, partially offset by accretion of discount on investments of $2.1 million. Changes in our operating assets and liabilities for the three months ended March 31, 2025 included a decrease in accounts payable and accrued expenses of $5.3 million and an increase in our prepaid expenses of $0.5 million.</w:t>
      </w:r>
    </w:p>
    <w:p>
      <w:pPr>
        <w:pStyle w:val="Heading1"/>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Investing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March 31, 2026, net cash provided by investing activities was $17.4 million, primarily resulting from proceeds of $66.3 million from the maturities of investments, offset by purchases of investments of $48.7 million, and purchases of property and equipment of $0.1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March 31, 2025, net cash used by investing activities was $58.0 million, primarily resulting from proceeds of $82.3 million from the maturities of investments, offset by purchases of investments of $139.9 million, and purchases of property and equipment of $0.4 million.</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Heading1"/>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Financing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March 31, 2026, a minor amount of cash was used to pay down finance lease obligations.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March 31, 2025, no cash was provided or used by financing activities.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Information regarding contractual obligations and commitments may be found in Note 13 of our unaudited interim consolidated financial statements in this Quarterly Report on Form 10-Q. We do not have any off-balance sheet arrangements that are material or reasonably likely to become material to our financial condition or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recent accounting pronouncements that impacted the Company, or which had a significant effect on the consolidated financial statements.</w:t>
      </w:r>
    </w:p>
    <w:p>
      <w:pPr>
        <w:pStyle w:val="TextBody"/>
        <w:bidi w:val="0"/>
        <w:spacing w:before="240" w:after="283"/>
        <w:jc w:val="left"/>
        <w:rPr>
          <w:rFonts w:ascii="Times New Roman" w:hAnsi="Times New Roman"/>
          <w:b/>
          <w:color w:val="000000"/>
          <w:sz w:val="20"/>
        </w:rPr>
      </w:pPr>
      <w:bookmarkStart w:id="14" w:name="item3_quantitative_and_qualitative"/>
      <w:bookmarkEnd w:id="14"/>
      <w:r>
        <w:rPr>
          <w:rFonts w:ascii="Times New Roman" w:hAnsi="Times New Roman"/>
          <w:b/>
          <w:color w:val="000000"/>
          <w:sz w:val="20"/>
        </w:rPr>
        <w:t>Item 3. Quantitative and Qualitative Disclosures About Market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exposed to market risk related to changes in interest rates. As of March 31, 2026 and December 31, 2025, we had cash, cash equivalents and investments of $144.4 million and $188.9 million, respectively. The Company’s investments are primarily in U.S. Treasury Securities. Our primary exposure to market risk is interest rate sensitivity, which is affected by changes in U.S. interest rates and our investments that can decline in value if market interest rates increase. We do not utilize interest rate hedging agreements or other interest rate derivative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market interest rates were to increase immediately and uniformly by 100 basis points, or one percentage point, from levels at March 31, 2026, the net effect on the net fair value of our investments would have resulted in a hypothetical decline of $0.2 million. While we believe our cash, cash equivalents, and marketable securities do not contain excessive risk, we cannot provide absolute assurance that, in the future, our investments will not be subject to adverse changes in market value.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4_controls_and_procedures"/>
      <w:bookmarkEnd w:id="15"/>
      <w:r>
        <w:rPr>
          <w:rFonts w:ascii="Times New Roman" w:hAnsi="Times New Roman"/>
          <w:b/>
          <w:color w:val="000000"/>
          <w:sz w:val="20"/>
        </w:rPr>
        <w:t>Item 4. Controls and Procedures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and our principal financial officer,evaluated, as of the end of the period covered by this Quarterly Report on Form 10-Q, the effectiveness of our disclosure controls and procedures. Based on that evaluation of our disclosure controls and procedures as of March 31, 2026, our principal executive officer and principal financial officer concluded that our disclosure controls and procedures as of such date were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Inherent Limitations of Internal Controls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Heading1"/>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period covered by this report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6" w:name="part_2"/>
      <w:bookmarkEnd w:id="16"/>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7" w:name="legal_proceedings"/>
      <w:bookmarkEnd w:id="17"/>
      <w:r>
        <w:rPr>
          <w:rFonts w:ascii="Times New Roman" w:hAnsi="Times New Roman"/>
          <w:b/>
          <w:color w:val="000000"/>
          <w:sz w:val="20"/>
        </w:rPr>
        <w:t>Item 1. Legal Proceedings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June 11, 2025 and July 18, 2025, two stockholders filed putative securities class action lawsuits against us and certain of our executive officers in the United States District Court for the District of New Jersey, purportedly on behalf of classes of the Company’s investors who purchased or otherwise acquired the Company’s common stock between February 27, 2025 and May 26, 2025 (Ho v. Rocket Pharmaceuticals, Inc., and Gaurav Shah, Case No. 3:35-cv-10049) and between September 17, 2024 and May 26, 2025 (Yankov v. Rocket Pharmaceuticals, Inc., Gaurav Shah and Aaron Ondrey, 3:25-cv-13532), respectively. The complaints allege violations of Sections 10(b) and 20(a) of the Securities Exchange Act of 1934 and Rule 10b-5 promulgated thereunder in connection with various public statements made by the Company regarding its Phase 2 clinical trial for RP-A501 for Danon disease. The actions seek unspecified damages, costs and expenses, including attorneys’ fees. On September 9, 2025, the Court consolidated the two pending putative securities class action lawsuits, appointed two stockholders as co-lead plaintiffs, and approved their selection of co-lead counsel. Pursuant to a stipulation approved by the Court on September 22, 2025, the co-lead plaintiffs filed a consolidated amended complaint on November 18, 2025. The consolidated amended complaint, captioned In re Rocket Pharmaceuticals, Inc. Securities Litigation, 3:25-cv-10049, is brought on behalf of persons who purchased or otherwise acquired the Company’s securities during the period of February 28, 2024 through August 25, 2025 (inclusive). Plaintiffs claim that the lawsuit arises from Defendants’ public statements and purported omissions concerning Rocket’s Phase 2 clinical trial for RP-A501 for DD. Among other things, Plaintiffs allege that Defendants failed to disclose certain SAEs that impacted patients during the Phase 2 clinical trial and the introduction of a C3 inhibitor to the trial’s protocol and that Defendants purportedly lacked a viable trial design that could safely and effectively dose patients while managing the risk of serious adverse events. According to Plaintiffs, Rocket’s stock price was inflated as a result of these purported misstatements and omissions. We intend to vigorously defend against the consolidated amended complaint’s allegations. On January 30, 2026, the Company filed a motion to dismiss the consolidated amended complaint. The Plaintiffs response to the Company’s motion was filed on April 1, 2026 and the Defendants reply thereto is due on May 16, 2026. Given the nature of the cases, including that the proceedings are in their early stages, the Company is unable to predict the ultimate outcome of the cases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October 22, 2025, a putative derivative action was filed in the District of New Jersey, naming as Defendants certain of the Company’s officers and present or former directors of the Company. The Complaint (which names the Company as a nominal defendant) alleges that the Defendants engaged in wrongful conduct during the period from September 17, 2024 through May 26, 2025. The allegations in the complaint largely parallel the allegations made in the previously filed putative securities class action complaints, with some additional allegations regarding a supposed lack of internal controls and purported insider trading. The Complaint seeks declaratory relief, an award of damages to the Company, an order directing the Company and the individual defendants to institute certain requested corporate governance reforms, restitution from the individual defendants, and costs and disbursements related to the lawsuit. The parties agreed to stay all proceedings in the putative derivative action until any motions to dismiss the putative securities class action are resolved, and on December 22, 2025, the Court approved the parties’ stipulation to that effect. The Company intends to vigorously defend the litigation. The Company will pay the legal fees related to the putative derivative action against the Company’s officers and directors. Given the nature of the litigation, including the fact that the litigation is in its early stages, the Company is unable to predict the ultimate outcome of the litigation or estimate the range of potential loss, if 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time to time, we may be subject to various legal proceedings and claims that arise in the ordinary course of our business activities. Although the results of litigation and claims cannot be predicted with certainty, we do not believe we are party to any other claim or litigation the outcome of which, if determined adversely to us, would individually or in the aggregate be reasonably expected to have a material adverse effect on its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8" w:name="item_1a"/>
      <w:bookmarkEnd w:id="18"/>
      <w:r>
        <w:rPr>
          <w:rFonts w:ascii="Times New Roman" w:hAnsi="Times New Roman"/>
          <w:b/>
          <w:color w:val="000000"/>
          <w:sz w:val="20"/>
        </w:rPr>
        <w:t>Item 1A. Risk Factors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material risk factors are disclosed in Item 1A of our 2025 Form 10-K. There have been no material changes from the risk factors previously disclosed in such filing.</w:t>
      </w:r>
    </w:p>
    <w:p>
      <w:pPr>
        <w:pStyle w:val="TextBody"/>
        <w:bidi w:val="0"/>
        <w:spacing w:before="240" w:after="283"/>
        <w:jc w:val="left"/>
        <w:rPr>
          <w:rFonts w:ascii="Times New Roman" w:hAnsi="Times New Roman"/>
          <w:b/>
          <w:color w:val="000000"/>
          <w:sz w:val="20"/>
        </w:rPr>
      </w:pPr>
      <w:bookmarkStart w:id="19" w:name="unregistered_sales_of_equity_securities"/>
      <w:bookmarkEnd w:id="19"/>
      <w:r>
        <w:rPr>
          <w:rFonts w:ascii="Times New Roman" w:hAnsi="Times New Roman"/>
          <w:b/>
          <w:color w:val="000000"/>
          <w:sz w:val="20"/>
        </w:rPr>
        <w:t>Item 2. Unregistered Sales of Equity Securities and Use of Proceeds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0" w:name="defaults_upon_senior_securities"/>
      <w:bookmarkEnd w:id="20"/>
      <w:r>
        <w:rPr>
          <w:rFonts w:ascii="Times New Roman" w:hAnsi="Times New Roman"/>
          <w:b/>
          <w:color w:val="000000"/>
          <w:sz w:val="20"/>
        </w:rPr>
        <w:t>Item 3. Defaults Upon Senior Securities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mine_safety_disclosures"/>
      <w:bookmarkEnd w:id="21"/>
      <w:r>
        <w:rPr>
          <w:rFonts w:ascii="Times New Roman" w:hAnsi="Times New Roman"/>
          <w:b/>
          <w:color w:val="000000"/>
          <w:sz w:val="20"/>
        </w:rPr>
        <w:t>Item 4. Mine Safety Disclosures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2" w:name="other_information"/>
      <w:bookmarkEnd w:id="22"/>
      <w:r>
        <w:rPr>
          <w:rFonts w:ascii="Times New Roman" w:hAnsi="Times New Roman"/>
          <w:b/>
          <w:color w:val="000000"/>
          <w:sz w:val="20"/>
        </w:rPr>
        <w:t>Item 5. Other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March 31, 2026, none of our directors or officers adopted or terminated a “Rule 10b5-1 trading arrangement” or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3" w:name="item6_exhibits"/>
      <w:bookmarkEnd w:id="2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1"/>
        <w:gridCol w:w="9194"/>
      </w:tblGrid>
      <w:tr>
        <w:trPr/>
        <w:tc>
          <w:tcPr>
            <w:tcW w:w="1011" w:type="dxa"/>
            <w:tcBorders/>
            <w:vAlign w:val="center"/>
          </w:tcPr>
          <w:p>
            <w:pPr>
              <w:pStyle w:val="TableContents"/>
              <w:bidi w:val="0"/>
              <w:spacing w:before="0" w:after="283"/>
              <w:jc w:val="left"/>
              <w:rPr>
                <w:sz w:val="4"/>
                <w:szCs w:val="4"/>
              </w:rPr>
            </w:pPr>
            <w:r>
              <w:rPr>
                <w:sz w:val="4"/>
                <w:szCs w:val="4"/>
              </w:rPr>
            </w:r>
          </w:p>
        </w:tc>
        <w:tc>
          <w:tcPr>
            <w:tcW w:w="9194" w:type="dxa"/>
            <w:tcBorders/>
            <w:vAlign w:val="center"/>
          </w:tcPr>
          <w:p>
            <w:pPr>
              <w:pStyle w:val="TableContents"/>
              <w:bidi w:val="0"/>
              <w:spacing w:before="0" w:after="283"/>
              <w:jc w:val="left"/>
              <w:rPr>
                <w:sz w:val="4"/>
                <w:szCs w:val="4"/>
              </w:rPr>
            </w:pPr>
            <w:r>
              <w:rPr>
                <w:sz w:val="4"/>
                <w:szCs w:val="4"/>
              </w:rPr>
            </w:r>
          </w:p>
        </w:tc>
      </w:tr>
      <w:tr>
        <w:trPr/>
        <w:tc>
          <w:tcPr>
            <w:tcW w:w="1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6">
              <w:r>
                <w:rPr>
                  <w:rStyle w:val="InternetLink"/>
                  <w:rFonts w:ascii="Times New Roman" w:hAnsi="Times New Roman"/>
                  <w:color w:val="0000ED"/>
                  <w:sz w:val="20"/>
                  <w:u w:val="single"/>
                </w:rPr>
                <w:t>2.1</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Agreement and Plan of Merger and Reorganization, dated as of September 12, 2017, by and among Inotek Pharmaceuticals Corporation, Rocket Pharmaceuticals, Ltd., and Rome Merger Sub (incorporated by reference to Exhibit 2.1 to the Company’s Current Report on Form 8- K (001-36829), filed with the SEC on September 13, 2017)</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r:id="rId7">
              <w:r>
                <w:rPr>
                  <w:rStyle w:val="InternetLink"/>
                  <w:rFonts w:ascii="Times New Roman" w:hAnsi="Times New Roman"/>
                  <w:color w:val="0000ED"/>
                  <w:sz w:val="20"/>
                  <w:u w:val="single"/>
                </w:rPr>
                <w:t>2.2</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Agreement and Plan of Merger, dated September 19, 2022, by and among Rocket Pharmaceuticals, Renovacor, Inc., Zebrafish Merger Sub, Inc. and Zebrafish Merger Sub II, LLC (incorporated by reference to Exhibit 2.1 to the Company’s Current Report on Form 8-K (001-36829), filed with the SEC on September 20, 2022)</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8">
              <w:r>
                <w:rPr>
                  <w:rStyle w:val="InternetLink"/>
                  <w:rFonts w:ascii="Times New Roman" w:hAnsi="Times New Roman"/>
                  <w:color w:val="0000ED"/>
                  <w:sz w:val="20"/>
                  <w:u w:val="single"/>
                </w:rPr>
                <w:t>3.1</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Seventh Amended and Restated Certificate of Incorporation of Rocket Pharmaceuticals, Inc., effective as of February 23, 2015 (incorporated by reference to Exhibit 3.1 to the Company’s Annual Report on Form 10-K (001-36829), filed with the SEC on March 31, 2015)</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r:id="rId9">
              <w:r>
                <w:rPr>
                  <w:rStyle w:val="InternetLink"/>
                  <w:rFonts w:ascii="Times New Roman" w:hAnsi="Times New Roman"/>
                  <w:color w:val="0000ED"/>
                  <w:sz w:val="20"/>
                  <w:u w:val="single"/>
                </w:rPr>
                <w:t>3.2</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(Reverse Stock Split) to the Seventh Amended and Restated Certificate of Incorporation of the Registrant, effective as of January 4, 2018 (incorporated by reference to Exhibit 3.1 to the Company’s Current Report on Form 8-K (001-36829), filed with the SEC on January 5, 2018)</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10">
              <w:r>
                <w:rPr>
                  <w:rStyle w:val="InternetLink"/>
                  <w:rFonts w:ascii="Times New Roman" w:hAnsi="Times New Roman"/>
                  <w:color w:val="0000ED"/>
                  <w:sz w:val="20"/>
                  <w:u w:val="single"/>
                </w:rPr>
                <w:t>3.3</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(Name Change) to the Seventh Amended and Restated Certificate of Incorporation of the Registrant, effective January 4, 2018 (incorporated by reference to Exhibit 3.2 to the Company’s Current Report on Form 8-K (001-36829), filed with the SEC on January 5, 2018)</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r:id="rId11">
              <w:r>
                <w:rPr>
                  <w:rStyle w:val="InternetLink"/>
                  <w:rFonts w:ascii="Times New Roman" w:hAnsi="Times New Roman"/>
                  <w:color w:val="0000ED"/>
                  <w:sz w:val="20"/>
                  <w:u w:val="single"/>
                </w:rPr>
                <w:t>3.4</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(Declassify Board of Directors) to the Seventh Amended and Restated Certificate of Incorporation of the Registrant, effective as of June 25, 2018 (incorporated by reference to Exhibit 3.1 to the Company’s Current Report on Form 8-K (001-36829), filed with the SEC on June 25, 2019</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r:id="rId12">
              <w:r>
                <w:rPr>
                  <w:rStyle w:val="InternetLink"/>
                  <w:rFonts w:ascii="Times New Roman" w:hAnsi="Times New Roman"/>
                  <w:color w:val="0000FF"/>
                  <w:sz w:val="20"/>
                  <w:u w:val="single"/>
                </w:rPr>
                <w:t>3.5</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(Authorized Shares Increase) to the Seventh Amended and Restated Certificate of Incorporation of the Registrant (incorporated by reference to Exhibit 3.1 of the Registrant’s Current Report on Form 8-K filed with the Commission on June 20, 2024)</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r:id="rId13">
              <w:r>
                <w:rPr>
                  <w:rStyle w:val="InternetLink"/>
                  <w:rFonts w:ascii="Times New Roman" w:hAnsi="Times New Roman"/>
                  <w:color w:val="0000ED"/>
                  <w:sz w:val="20"/>
                  <w:u w:val="single"/>
                </w:rPr>
                <w:t>3.6</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and Restated By-Laws of Rocket Pharmaceuticals, Inc., effective as of March 29, 2018 (incorporated by reference to Exhibit 3.2 to the Company’s Current Report on Form 8-K (001-36829), filed with the SEC on April 4, 2018)</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rckt-ex31_1.htm">
              <w:r>
                <w:rPr>
                  <w:rStyle w:val="InternetLink"/>
                  <w:rFonts w:ascii="Times New Roman" w:hAnsi="Times New Roman"/>
                  <w:color w:val="0000FF"/>
                  <w:sz w:val="20"/>
                  <w:u w:val="single"/>
                </w:rPr>
                <w:t>31.1*</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pursuant to Rule 13a-14(a) or Rule 15d-14(a) of the Securities Exchange Act of 1934, as adopted pursuant to Section 302 of the Sarbanes-Oxley Act of 2002</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pPr>
            <w:hyperlink w:anchor="rckt-ex31_2.htm">
              <w:r>
                <w:rPr>
                  <w:rStyle w:val="InternetLink"/>
                  <w:rFonts w:ascii="Times New Roman" w:hAnsi="Times New Roman"/>
                  <w:color w:val="0000FF"/>
                  <w:sz w:val="20"/>
                  <w:u w:val="single"/>
                </w:rPr>
                <w:t>31.2*</w:t>
              </w:r>
            </w:hyperlink>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pursuant to Rule 13a-14(a) or Rule 15d-14(a) of the Securities Exchange Act of 1934, as adopted pursuant to Section 302 of the Sarbanes-Oxley Act of 2002</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rckt-ex32_1.htm">
              <w:r>
                <w:rPr>
                  <w:rStyle w:val="InternetLink"/>
                  <w:rFonts w:ascii="Times New Roman" w:hAnsi="Times New Roman"/>
                  <w:color w:val="0000FF"/>
                  <w:sz w:val="20"/>
                  <w:u w:val="single"/>
                </w:rPr>
                <w:t>32.1**</w:t>
              </w:r>
            </w:hyperlink>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and Principal Financial Officer pursuant to 18 U.S.C. Section 1350, as adopted pursuant to Section 906 of the Sarbanes-Oxley Act of 2002</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9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 32.1 hereto is deemed to be furnished with this Quarterly Report on Form 10-Q and will not be deemed “filed” for purposes of Section 18 of the Securities Exchange Act of 1934, as amended, except to the extent that the Registrant specifically incorporates it by reference</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6" w:after="283"/>
        <w:jc w:val="left"/>
        <w:rPr/>
      </w:pPr>
      <w:r>
        <w:rPr/>
        <w:t> </w:t>
      </w:r>
    </w:p>
    <w:tbl>
      <w:tblPr>
        <w:tblW w:w="5463" w:type="dxa"/>
        <w:jc w:val="left"/>
        <w:tblInd w:w="0" w:type="dxa"/>
        <w:tblLayout w:type="fixed"/>
        <w:tblCellMar>
          <w:top w:w="28" w:type="dxa"/>
          <w:left w:w="28" w:type="dxa"/>
          <w:bottom w:w="28" w:type="dxa"/>
          <w:right w:w="28" w:type="dxa"/>
        </w:tblCellMar>
      </w:tblPr>
      <w:tblGrid>
        <w:gridCol w:w="1156"/>
        <w:gridCol w:w="406"/>
        <w:gridCol w:w="3901"/>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ROCKET PHARMACEUTICALS, INC.</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Gaurav Shah, MD</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Gaurav Shah, MD</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 and Director</w:t>
            </w:r>
            <w:r>
              <w:rPr>
                <w:rFonts w:ascii="Times New Roman" w:hAnsi="Times New Roman"/>
                <w:color w:val="000000"/>
                <w:sz w:val="20"/>
              </w:rPr>
              <w:t xml:space="preserve">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Martin Wilson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Wilson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Counsel and Chief Corporate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bookmarkStart w:id="25" w:name="rckt-ex31_1.htm"/>
      <w:bookmarkStart w:id="26" w:name="ksrckt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jc w:val="left"/>
        <w:rPr>
          <w:rFonts w:ascii="Times New Roman" w:hAnsi="Times New Roman"/>
          <w:color w:val="000000"/>
          <w:sz w:val="20"/>
        </w:rPr>
      </w:pPr>
      <w:r>
        <w:rPr>
          <w:rFonts w:ascii="Times New Roman" w:hAnsi="Times New Roman"/>
          <w:color w:val="000000"/>
          <w:sz w:val="20"/>
        </w:rPr>
        <w:t>I, Gaurav Shah,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March 31, 2026 of Rocket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39" w:type="dxa"/>
        <w:jc w:val="left"/>
        <w:tblInd w:w="0" w:type="dxa"/>
        <w:tblLayout w:type="fixed"/>
        <w:tblCellMar>
          <w:top w:w="28" w:type="dxa"/>
          <w:left w:w="28" w:type="dxa"/>
          <w:bottom w:w="28" w:type="dxa"/>
          <w:right w:w="28" w:type="dxa"/>
        </w:tblCellMar>
      </w:tblPr>
      <w:tblGrid>
        <w:gridCol w:w="1636"/>
        <w:gridCol w:w="406"/>
        <w:gridCol w:w="146"/>
        <w:gridCol w:w="315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Gaurav Shah, MD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Gaurav Shah, MD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ckt-ex31_2.htm"/>
      <w:bookmarkStart w:id="28" w:name="ksrcktex31_2"/>
      <w:bookmarkEnd w:id="27"/>
      <w:bookmarkEnd w:id="28"/>
      <w:r>
        <w:rPr/>
        <w:t> </w:t>
      </w:r>
      <w:r>
        <w:br w:type="page"/>
      </w:r>
    </w:p>
    <w:p>
      <w:pPr>
        <w:pStyle w:val="TextBody"/>
        <w:bidi w:val="0"/>
        <w:ind w:left="20" w:right="0" w:hanging="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ind w:left="20" w:right="0" w:hanging="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Martin Wilson,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March 31, 2026 of Rocket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34" w:type="dxa"/>
        <w:jc w:val="left"/>
        <w:tblInd w:w="0" w:type="dxa"/>
        <w:tblLayout w:type="fixed"/>
        <w:tblCellMar>
          <w:top w:w="28" w:type="dxa"/>
          <w:left w:w="28" w:type="dxa"/>
          <w:bottom w:w="28" w:type="dxa"/>
          <w:right w:w="28" w:type="dxa"/>
        </w:tblCellMar>
      </w:tblPr>
      <w:tblGrid>
        <w:gridCol w:w="1636"/>
        <w:gridCol w:w="451"/>
        <w:gridCol w:w="146"/>
        <w:gridCol w:w="3901"/>
      </w:tblGrid>
      <w:tr>
        <w:trPr/>
        <w:tc>
          <w:tcPr>
            <w:tcW w:w="16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Martin Wilson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Wilson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Counsel and Chief Corporate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rckt-ex32_1.htm"/>
      <w:bookmarkStart w:id="30" w:name="ksrckt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on Form 10-Q of Rocket Pharmaceuticals, Inc. (the “Company”) for the period ended March 31, 2026, as filed with the United States Securities and Exchange Commission on the date hereof (the “Report”), each of the undersigned officers hereby certifies, pursuant to Section 906 of the Sarbanes-Oxley Act of 2002, 18 U.S.C. Section 1350, that to his knowledge: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which this statement accompanies fully complies with the requirements of Section 13(a) or 15(d) of the Securities Exchange Act of 1934, as amended; and</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1636"/>
        <w:gridCol w:w="146"/>
        <w:gridCol w:w="451"/>
        <w:gridCol w:w="146"/>
        <w:gridCol w:w="315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Gaurav Shah, MD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Gaurav Shah, MD</w:t>
            </w:r>
          </w:p>
          <w:p>
            <w:pPr>
              <w:pStyle w:val="TableContents"/>
              <w:bidi w:val="0"/>
              <w:jc w:val="left"/>
              <w:rPr>
                <w:rFonts w:ascii="Times New Roman" w:hAnsi="Times New Roman"/>
                <w:i/>
                <w:color w:val="000000"/>
                <w:sz w:val="20"/>
              </w:rPr>
            </w:pPr>
            <w:r>
              <w:rPr>
                <w:rFonts w:ascii="Times New Roman" w:hAnsi="Times New Roman"/>
                <w:i/>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280" w:type="dxa"/>
        <w:jc w:val="left"/>
        <w:tblInd w:w="0" w:type="dxa"/>
        <w:tblLayout w:type="fixed"/>
        <w:tblCellMar>
          <w:top w:w="28" w:type="dxa"/>
          <w:left w:w="28" w:type="dxa"/>
          <w:bottom w:w="28" w:type="dxa"/>
          <w:right w:w="28" w:type="dxa"/>
        </w:tblCellMar>
      </w:tblPr>
      <w:tblGrid>
        <w:gridCol w:w="1636"/>
        <w:gridCol w:w="146"/>
        <w:gridCol w:w="451"/>
        <w:gridCol w:w="146"/>
        <w:gridCol w:w="390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Martin Wilson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Martin Wilson</w:t>
            </w:r>
          </w:p>
          <w:p>
            <w:pPr>
              <w:pStyle w:val="TableContents"/>
              <w:bidi w:val="0"/>
              <w:jc w:val="left"/>
              <w:rPr>
                <w:rFonts w:ascii="Times New Roman" w:hAnsi="Times New Roman"/>
                <w:i/>
                <w:color w:val="000000"/>
                <w:sz w:val="20"/>
              </w:rPr>
            </w:pPr>
            <w:r>
              <w:rPr>
                <w:rFonts w:ascii="Times New Roman" w:hAnsi="Times New Roman"/>
                <w:i/>
                <w:color w:val="000000"/>
                <w:sz w:val="20"/>
              </w:rPr>
              <w:t>General Counsel and Chief Corporate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281895/000119312517283239/d421363dex21.htm" TargetMode="External"/><Relationship Id="rId7" Type="http://schemas.openxmlformats.org/officeDocument/2006/relationships/hyperlink" Target="https://www.sec.gov/Archives/edgar/data/1281895/000114036122034038/brhc10042060_ex2-1.htm" TargetMode="External"/><Relationship Id="rId8" Type="http://schemas.openxmlformats.org/officeDocument/2006/relationships/hyperlink" Target="https://www.sec.gov/Archives/edgar/data/1281895/000119312515114201/d893535dex31.htm" TargetMode="External"/><Relationship Id="rId9" Type="http://schemas.openxmlformats.org/officeDocument/2006/relationships/hyperlink" Target="https://www.sec.gov/Archives/edgar/data/1281895/000119312518004435/d516098dex31.htm" TargetMode="External"/><Relationship Id="rId10" Type="http://schemas.openxmlformats.org/officeDocument/2006/relationships/hyperlink" Target="https://www.sec.gov/Archives/edgar/data/1281895/000119312518004435/d516098dex32.htm" TargetMode="External"/><Relationship Id="rId11" Type="http://schemas.openxmlformats.org/officeDocument/2006/relationships/hyperlink" Target="https://www.sec.gov/Archives/edgar/data/1281895/000114036118029797/ex3_1.htm" TargetMode="External"/><Relationship Id="rId12" Type="http://schemas.openxmlformats.org/officeDocument/2006/relationships/hyperlink" Target="https://www.sec.gov/Archives/edgar/data/1281895/000114036124030718/ef20031374_ex3-1.htm" TargetMode="External"/><Relationship Id="rId13" Type="http://schemas.openxmlformats.org/officeDocument/2006/relationships/hyperlink" Target="https://www.sec.gov/Archives/edgar/data/1281895/000119312518107593/d564113dex3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23541</Words>
  <Characters>132780</Characters>
  <CharactersWithSpaces>155888</CharactersWithSpaces>
  <Paragraphs>3726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