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SOUTHWELL DAVID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ROCKET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CEDARBROOK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CRANBURY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ROCKET PHARMACEUTICALS, INC.</w:t>
              </w:r>
            </w:hyperlink>
            <w:r>
              <w:rPr/>
              <w:t xml:space="preserve"> [ </w:t>
            </w:r>
            <w:r>
              <w:rPr>
                <w:rFonts w:ascii="Times;serif" w:hAnsi="Times;serif"/>
                <w:color w:val="0000FF"/>
                <w:sz w:val="24"/>
                <w:shd w:fill="FFFFFF" w:val="clear"/>
              </w:rPr>
              <w:t>RCKT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25"/>
        <w:gridCol w:w="793"/>
        <w:gridCol w:w="614"/>
        <w:gridCol w:w="346"/>
        <w:gridCol w:w="1020"/>
        <w:gridCol w:w="434"/>
        <w:gridCol w:w="602"/>
        <w:gridCol w:w="1140"/>
        <w:gridCol w:w="984"/>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204,522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113,124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David P. Southwell Irrevocable Trust Dtd 04/14/2024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Rocket Pharmaceuticals, Inc. (the "Company") entered into a consulting agreement with the Reporting Person, dated July 21, 2026, for consulting services related to the Company's strategic and financial activities. As compensation for services rendered, the Reporting Person received 150,000 restricted stock units ("RSUs") on August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RSUs that convert to common stock on a one-for-one basis. One-third of such RSUs will vest in full on August 3, 2027, with the remaining two-thirds vesting in equal quarterly installments over the following two years.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Wilson, as attorney-in-fact for David Southwell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1553" TargetMode="External"/><Relationship Id="rId5" Type="http://schemas.openxmlformats.org/officeDocument/2006/relationships/hyperlink" Target="http://www.sec.gov/cgi-bin/browse-edgar?action=getcompany&amp;CIK=0001281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3672</Characters>
  <CharactersWithSpaces>4266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