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3589655</wp:posOffset>
            </wp:positionH>
            <wp:positionV relativeFrom="paragraph">
              <wp:posOffset>116205</wp:posOffset>
            </wp:positionV>
            <wp:extent cx="77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jc w:val="center"/>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3589655</wp:posOffset>
            </wp:positionH>
            <wp:positionV relativeFrom="paragraph">
              <wp:posOffset>141605</wp:posOffset>
            </wp:positionV>
            <wp:extent cx="77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18" w:lineRule="exact"/>
        <w:rPr>
          <w:sz w:val="24"/>
          <w:szCs w:val="24"/>
          <w:color w:val="auto"/>
        </w:rPr>
      </w:pPr>
    </w:p>
    <w:p>
      <w:pPr>
        <w:ind w:left="360"/>
        <w:spacing w:after="0" w:line="207" w:lineRule="exact"/>
        <w:tabs>
          <w:tab w:leader="none" w:pos="35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86"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7" w:lineRule="exact"/>
        <w:rPr>
          <w:sz w:val="24"/>
          <w:szCs w:val="24"/>
          <w:color w:val="auto"/>
        </w:rPr>
      </w:pPr>
    </w:p>
    <w:p>
      <w:pPr>
        <w:ind w:left="700" w:hanging="692"/>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4" w:lineRule="exact"/>
        <w:rPr>
          <w:rFonts w:ascii="MS PGothic" w:cs="MS PGothic" w:eastAsia="MS PGothic" w:hAnsi="MS PGothic"/>
          <w:sz w:val="16"/>
          <w:szCs w:val="16"/>
          <w:color w:val="auto"/>
        </w:rPr>
      </w:pPr>
    </w:p>
    <w:p>
      <w:pPr>
        <w:ind w:left="700" w:hanging="692"/>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8" w:lineRule="exact"/>
        <w:rPr>
          <w:rFonts w:ascii="MS PGothic" w:cs="MS PGothic" w:eastAsia="MS PGothic" w:hAnsi="MS PGothic"/>
          <w:sz w:val="16"/>
          <w:szCs w:val="16"/>
          <w:color w:val="auto"/>
        </w:rPr>
      </w:pPr>
    </w:p>
    <w:p>
      <w:pPr>
        <w:ind w:left="700" w:hanging="692"/>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700" w:hanging="692"/>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439"/>
        </w:trPr>
        <w:tc>
          <w:tcPr>
            <w:tcW w:w="1000" w:type="dxa"/>
            <w:vAlign w:val="bottom"/>
          </w:tcPr>
          <w:p>
            <w:pPr>
              <w:spacing w:after="0"/>
              <w:rPr>
                <w:sz w:val="24"/>
                <w:szCs w:val="24"/>
                <w:color w:val="auto"/>
              </w:rPr>
            </w:pPr>
          </w:p>
        </w:tc>
        <w:tc>
          <w:tcPr>
            <w:tcW w:w="10420" w:type="dxa"/>
            <w:vAlign w:val="bottom"/>
            <w:gridSpan w:val="3"/>
          </w:tcPr>
          <w:p>
            <w:pPr>
              <w:jc w:val="center"/>
              <w:ind w:right="910"/>
              <w:spacing w:after="0"/>
              <w:rPr>
                <w:sz w:val="20"/>
                <w:szCs w:val="20"/>
                <w:color w:val="auto"/>
              </w:rPr>
            </w:pPr>
            <w:r>
              <w:rPr>
                <w:rFonts w:ascii="Arial" w:cs="Arial" w:eastAsia="Arial" w:hAnsi="Arial"/>
                <w:sz w:val="36"/>
                <w:szCs w:val="36"/>
                <w:b w:val="1"/>
                <w:bCs w:val="1"/>
                <w:color w:val="auto"/>
              </w:rPr>
              <w:t>ROCKET PHARMACEUTICALS, INC.</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(Name of Registrant as Specified In Its Charter)</w:t>
            </w:r>
          </w:p>
        </w:tc>
        <w:tc>
          <w:tcPr>
            <w:tcW w:w="0" w:type="dxa"/>
            <w:vAlign w:val="bottom"/>
          </w:tcPr>
          <w:p>
            <w:pPr>
              <w:spacing w:after="0"/>
              <w:rPr>
                <w:sz w:val="1"/>
                <w:szCs w:val="1"/>
                <w:color w:val="auto"/>
              </w:rPr>
            </w:pPr>
          </w:p>
        </w:tc>
      </w:tr>
      <w:tr>
        <w:trPr>
          <w:trHeight w:val="272"/>
        </w:trPr>
        <w:tc>
          <w:tcPr>
            <w:tcW w:w="10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980" w:type="dxa"/>
            <w:vAlign w:val="bottom"/>
            <w:gridSpan w:val="2"/>
          </w:tcPr>
          <w:p>
            <w:pPr>
              <w:jc w:val="center"/>
              <w:ind w:right="3350"/>
              <w:spacing w:after="0"/>
              <w:rPr>
                <w:sz w:val="20"/>
                <w:szCs w:val="20"/>
                <w:color w:val="auto"/>
              </w:rPr>
            </w:pPr>
            <w:r>
              <w:rPr>
                <w:rFonts w:ascii="Arial" w:cs="Arial" w:eastAsia="Arial" w:hAnsi="Arial"/>
                <w:sz w:val="14"/>
                <w:szCs w:val="14"/>
                <w:b w:val="1"/>
                <w:bCs w:val="1"/>
                <w:color w:val="auto"/>
                <w:w w:val="92"/>
              </w:rPr>
              <w:t>(Name of Person(s) Filing Proxy Statement, if other than the Registrant)</w:t>
            </w:r>
          </w:p>
        </w:tc>
        <w:tc>
          <w:tcPr>
            <w:tcW w:w="0" w:type="dxa"/>
            <w:vAlign w:val="bottom"/>
          </w:tcPr>
          <w:p>
            <w:pPr>
              <w:spacing w:after="0"/>
              <w:rPr>
                <w:sz w:val="1"/>
                <w:szCs w:val="1"/>
                <w:color w:val="auto"/>
              </w:rPr>
            </w:pPr>
          </w:p>
        </w:tc>
      </w:tr>
      <w:tr>
        <w:trPr>
          <w:trHeight w:val="290"/>
        </w:trPr>
        <w:tc>
          <w:tcPr>
            <w:tcW w:w="3440" w:type="dxa"/>
            <w:vAlign w:val="bottom"/>
            <w:gridSpan w:val="2"/>
          </w:tcPr>
          <w:p>
            <w:pPr>
              <w:spacing w:after="0"/>
              <w:rPr>
                <w:sz w:val="20"/>
                <w:szCs w:val="20"/>
                <w:color w:val="auto"/>
              </w:rPr>
            </w:pPr>
            <w:r>
              <w:rPr>
                <w:rFonts w:ascii="Arial" w:cs="Arial" w:eastAsia="Arial" w:hAnsi="Arial"/>
                <w:sz w:val="16"/>
                <w:szCs w:val="16"/>
                <w:color w:val="auto"/>
                <w:w w:val="94"/>
              </w:rPr>
              <w:t>Payment of Filing Fee (Check the appropriate box):</w:t>
            </w:r>
          </w:p>
        </w:tc>
        <w:tc>
          <w:tcPr>
            <w:tcW w:w="2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440" w:type="dxa"/>
            <w:vAlign w:val="bottom"/>
          </w:tcPr>
          <w:p>
            <w:pPr>
              <w:ind w:left="840"/>
              <w:spacing w:after="0"/>
              <w:rPr>
                <w:sz w:val="20"/>
                <w:szCs w:val="20"/>
                <w:color w:val="auto"/>
              </w:rPr>
            </w:pPr>
            <w:r>
              <w:rPr>
                <w:rFonts w:ascii="Arial" w:cs="Arial" w:eastAsia="Arial" w:hAnsi="Arial"/>
                <w:sz w:val="18"/>
                <w:szCs w:val="18"/>
                <w:color w:val="auto"/>
              </w:rPr>
              <w:t>No fee required.</w:t>
            </w:r>
          </w:p>
        </w:tc>
        <w:tc>
          <w:tcPr>
            <w:tcW w:w="2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Fee computed on table below per Exchange Act Rules 14a-6(i)(1) and 0-11.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2440" w:type="dxa"/>
            <w:vAlign w:val="bottom"/>
          </w:tcPr>
          <w:p>
            <w:pPr>
              <w:ind w:left="8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Title of each class of securities to which transaction applies: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40" w:type="dxa"/>
            <w:vAlign w:val="bottom"/>
            <w:vMerge w:val="restart"/>
          </w:tcPr>
          <w:p>
            <w:pPr>
              <w:ind w:left="8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Aggregate number of securities to which transaction applies:</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2440" w:type="dxa"/>
            <w:vAlign w:val="bottom"/>
            <w:vMerge w:val="restart"/>
          </w:tcPr>
          <w:p>
            <w:pPr>
              <w:ind w:left="8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Per unit price or other underlying value of transaction computed pursuant to Exchange Act Rule 0-11 (set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forth the amount on which the filing fee is calculated and state how it was determined):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40" w:type="dxa"/>
            <w:vAlign w:val="bottom"/>
            <w:vMerge w:val="restart"/>
          </w:tcPr>
          <w:p>
            <w:pPr>
              <w:ind w:left="8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Proposed maximum aggregate value of transaction:</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2440" w:type="dxa"/>
            <w:vAlign w:val="bottom"/>
            <w:vMerge w:val="restart"/>
          </w:tcPr>
          <w:p>
            <w:pPr>
              <w:ind w:left="8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fee paid:</w:t>
            </w:r>
          </w:p>
        </w:tc>
        <w:tc>
          <w:tcPr>
            <w:tcW w:w="0" w:type="dxa"/>
            <w:vAlign w:val="bottom"/>
          </w:tcPr>
          <w:p>
            <w:pPr>
              <w:spacing w:after="0"/>
              <w:rPr>
                <w:sz w:val="1"/>
                <w:szCs w:val="1"/>
                <w:color w:val="auto"/>
              </w:rPr>
            </w:pPr>
          </w:p>
        </w:tc>
      </w:tr>
      <w:tr>
        <w:trPr>
          <w:trHeight w:val="215"/>
        </w:trPr>
        <w:tc>
          <w:tcPr>
            <w:tcW w:w="10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gridSpan w:val="2"/>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00" w:type="dxa"/>
            <w:vAlign w:val="bottom"/>
            <w:vMerge w:val="continue"/>
          </w:tcPr>
          <w:p>
            <w:pPr>
              <w:spacing w:after="0"/>
              <w:rPr>
                <w:sz w:val="24"/>
                <w:szCs w:val="24"/>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Fee paid previously with preliminary materials.</w:t>
            </w:r>
          </w:p>
        </w:tc>
        <w:tc>
          <w:tcPr>
            <w:tcW w:w="0" w:type="dxa"/>
            <w:vAlign w:val="bottom"/>
          </w:tcPr>
          <w:p>
            <w:pPr>
              <w:spacing w:after="0"/>
              <w:rPr>
                <w:sz w:val="1"/>
                <w:szCs w:val="1"/>
                <w:color w:val="auto"/>
              </w:rPr>
            </w:pPr>
          </w:p>
        </w:tc>
      </w:tr>
      <w:tr>
        <w:trPr>
          <w:trHeight w:val="290"/>
        </w:trPr>
        <w:tc>
          <w:tcPr>
            <w:tcW w:w="10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2"/>
              </w:rPr>
              <w:t>Check box if any part of the fee is offset as provided by Exchange Act Rule 0-11(a)(2) and identify the filing for which the offsetting</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3"/>
              </w:rPr>
              <w:t>fee was paid previously. Identify the previous filing by registration statement number, or the Form or Schedule and the date of its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440" w:type="dxa"/>
            <w:vAlign w:val="bottom"/>
          </w:tcPr>
          <w:p>
            <w:pPr>
              <w:ind w:left="840"/>
              <w:spacing w:after="0"/>
              <w:rPr>
                <w:sz w:val="20"/>
                <w:szCs w:val="20"/>
                <w:color w:val="auto"/>
              </w:rPr>
            </w:pPr>
            <w:r>
              <w:rPr>
                <w:rFonts w:ascii="Arial" w:cs="Arial" w:eastAsia="Arial" w:hAnsi="Arial"/>
                <w:sz w:val="18"/>
                <w:szCs w:val="18"/>
                <w:color w:val="auto"/>
              </w:rPr>
              <w:t>filing.</w:t>
            </w: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2440" w:type="dxa"/>
            <w:vAlign w:val="bottom"/>
          </w:tcPr>
          <w:p>
            <w:pPr>
              <w:ind w:left="8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Amount Previously Paid: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440" w:type="dxa"/>
            <w:vAlign w:val="bottom"/>
            <w:vMerge w:val="restart"/>
          </w:tcPr>
          <w:p>
            <w:pPr>
              <w:ind w:left="8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Form, Schedule or Registration Statement No.:</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2440" w:type="dxa"/>
            <w:vAlign w:val="bottom"/>
            <w:vMerge w:val="restart"/>
          </w:tcPr>
          <w:p>
            <w:pPr>
              <w:ind w:left="8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Filing Party:</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2440" w:type="dxa"/>
            <w:vAlign w:val="bottom"/>
            <w:vMerge w:val="restart"/>
          </w:tcPr>
          <w:p>
            <w:pPr>
              <w:ind w:left="8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Date Filed:</w:t>
            </w: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205740</wp:posOffset>
            </wp:positionV>
            <wp:extent cx="1680845" cy="694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84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April</w:t>
        <w:tab/>
        <w:t>,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Rocket Stockholder:</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You are cordially invited to attend the 2018 Annual Meeting of Stockholders (the “Annual Meeting”) of Rocket Pharmaceuticals, Inc. (the “Company”), which will be held on June 25, 2018, at 8:30 a.m., Eastern Time, at the offices of Gibson, Dunn &amp; Crutcher LLP, located at 200 Park Avenue, New York, NY 10166.</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attached Notice of the Annual Meeting of Stockholders and proxy statement describe the formal business that we will transact at the Annual Meeting. At this year’s Annual Meeting, our stockholders will be asked to consider and act upon the following matters:</w:t>
      </w:r>
    </w:p>
    <w:p>
      <w:pPr>
        <w:spacing w:after="0" w:line="76" w:lineRule="exact"/>
        <w:rPr>
          <w:sz w:val="20"/>
          <w:szCs w:val="20"/>
          <w:color w:val="auto"/>
        </w:rPr>
      </w:pPr>
    </w:p>
    <w:p>
      <w:pPr>
        <w:ind w:left="340" w:right="40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Seventh Amended and Restated Certificate of Incorporation to declassify the Board of Directors of the Company (the “Board”);</w:t>
      </w:r>
    </w:p>
    <w:p>
      <w:pPr>
        <w:spacing w:after="0" w:line="1" w:lineRule="exact"/>
        <w:rPr>
          <w:rFonts w:ascii="Arial" w:cs="Arial" w:eastAsia="Arial" w:hAnsi="Arial"/>
          <w:sz w:val="18"/>
          <w:szCs w:val="18"/>
          <w:color w:val="auto"/>
        </w:rPr>
      </w:pPr>
    </w:p>
    <w:p>
      <w:pPr>
        <w:ind w:left="340" w:right="76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Seventh Amended and Restated Certificate of Incorporation to eliminate the supermajority voting requirement with respect to the removal of directors and replace it with a majority voting standard;</w:t>
      </w:r>
    </w:p>
    <w:p>
      <w:pPr>
        <w:ind w:left="340" w:right="2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Proposal 1 to declassify the Board is approved by the stockholders, to elect seven (7) directors named in the proxy statement to hold office until the Company’s annual meeting of stockholders in 2019, or until their respective successors have been duly elected and qualified;</w:t>
      </w: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Proposal 1 to declassify the Board is not approved by the stockholders, to elect two (2) Class I directors named in the proxy statement to the Board for a term of three (3) years, or until their respective successors have been duly elected and qualified;</w:t>
      </w:r>
    </w:p>
    <w:p>
      <w:pPr>
        <w:ind w:left="340" w:right="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EisnerAmper LLP as the Company’s independent registered public accounting firm for the fiscal year ending December 31, 2018;</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Company’s Second Amended and Restated 2014 Stock Option and Incentive Plan (the “Proposed 2014 Plan”);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any other business that properly comes before the Annual Meeting or any adjournments and postponements thereof.</w:t>
      </w:r>
    </w:p>
    <w:p>
      <w:pPr>
        <w:spacing w:after="0" w:line="10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Board has determined that an affirmative vote on each matter that calls for an affirmative vote is in the best interest of the Company and its stockholders and unanimously recommends a vote “FOR” the election of each of the nominees and “FOR” each of the other matters considered at the Annual Meeting.</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Please promptly complete, sign and return the enclosed proxy card by mail or submit your voting instructions by Internet, whether or not you plan to attend the Annual Meeting.</w:t>
      </w:r>
    </w:p>
    <w:p>
      <w:pPr>
        <w:spacing w:after="0" w:line="16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Since several of the items of business for the Annual Meeting have extremely high vote requirements, your vote is important, regardless of the number of shares you own. We urge you to please vote your proxy on these important matters. Voting by proxy will not prevent you from voting in person at the Annual Meeting, but will assure that your vote is counted if you cannot attend.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and the employees of the Company, we thank you for your continued support and look forward to seeing you at the Annual Meeting.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Gaurav Shah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Gaurav Shah,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ROCKET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430 East 29th Street, Suite 1040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(646) 440-9100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June 25, 2018</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8:30 a.m. Eastern Time</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Offices of Gibson, Dunn &amp; Crutcher LLP, 200 Park Avenue, New York, NY 10166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pacing w:after="0" w:line="256" w:lineRule="exact"/>
        <w:rPr>
          <w:sz w:val="20"/>
          <w:szCs w:val="20"/>
          <w:color w:val="auto"/>
        </w:rPr>
      </w:pPr>
    </w:p>
    <w:p>
      <w:pPr>
        <w:ind w:left="580" w:right="54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an amendment to Rocket Pharmaceuticals, Inc.’s (the “Company”) Seventh Amended and Restated Certificate of Incorporation to declassify the Board of Directors of the Company (the “Board”);</w:t>
      </w:r>
    </w:p>
    <w:p>
      <w:pPr>
        <w:spacing w:after="0" w:line="62" w:lineRule="exact"/>
        <w:rPr>
          <w:rFonts w:ascii="Arial" w:cs="Arial" w:eastAsia="Arial" w:hAnsi="Arial"/>
          <w:sz w:val="18"/>
          <w:szCs w:val="18"/>
          <w:color w:val="auto"/>
        </w:rPr>
      </w:pPr>
    </w:p>
    <w:p>
      <w:pPr>
        <w:ind w:left="580" w:right="44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an amendment to the Company’s Seventh Amended and Restated Certificate of Incorporation to eliminate the supermajority voting requirement with respect to the removal of directors and replace it with a majority voting standard;</w:t>
      </w:r>
    </w:p>
    <w:p>
      <w:pPr>
        <w:spacing w:after="0" w:line="62"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Proposal 1 to declassify the Board is approved by the stockholders, election of the seven (7) directors named in the proxy statement to hold office until the annual meeting of stockholders in 2019, or until their respective successors have been duly elected and qualified;</w:t>
      </w:r>
    </w:p>
    <w:p>
      <w:pPr>
        <w:spacing w:after="0" w:line="38" w:lineRule="exact"/>
        <w:rPr>
          <w:rFonts w:ascii="Arial" w:cs="Arial" w:eastAsia="Arial" w:hAnsi="Arial"/>
          <w:sz w:val="17"/>
          <w:szCs w:val="17"/>
          <w:color w:val="auto"/>
        </w:rPr>
      </w:pPr>
    </w:p>
    <w:p>
      <w:pPr>
        <w:ind w:left="580" w:right="32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Proposal 1 to declassify the Board is not approved by the stockholders, election of two (2) Class I directors named in the proxy statement to the Board for a term of three (3) years, or until their respective successors have been duly elected and qualified;</w:t>
      </w:r>
    </w:p>
    <w:p>
      <w:pPr>
        <w:spacing w:after="0" w:line="62" w:lineRule="exact"/>
        <w:rPr>
          <w:rFonts w:ascii="Arial" w:cs="Arial" w:eastAsia="Arial" w:hAnsi="Arial"/>
          <w:sz w:val="18"/>
          <w:szCs w:val="18"/>
          <w:color w:val="auto"/>
        </w:rPr>
      </w:pPr>
    </w:p>
    <w:p>
      <w:pPr>
        <w:ind w:left="580" w:right="46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EisnerAmper LLP as the Company’s independent registered public accounting firm for the fiscal year ending December 31, 2018;</w:t>
      </w:r>
    </w:p>
    <w:p>
      <w:pPr>
        <w:spacing w:after="0" w:line="6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Company’s Second Amended and Restated 2014 Stock Option and Incentive Plan; and</w:t>
      </w:r>
    </w:p>
    <w:p>
      <w:pPr>
        <w:spacing w:after="0" w:line="117"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Consideration of any other business properly brought before the Annual Meeting or any adjournment or postponement thereof.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record date for the Annual Meeting is April 26, 2018. Only stockholders of record at the close of business on that date may vote at the Annual Meeting or any adjournment or postponement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You are cordially invited to attend the Annual Meeting in person. Whether or not you expect to attend the Annual Meeting, please submit the enclosed proxy or voting instructions by mail, telephone or Internet. A return envelope (which is postage prepaid if mailed in the United States) is enclosed for your convenience. Submitting a proxy or voting instructions will not prevent you from attending the Annual Meeting and voting in person. Please note, however, that if your shares are held of record by a broker, bank or other nominee and you wish to vote at the Annual Meeting, you must obtain a proxy issued in your name from that record holder.</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Gaurav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2787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Gaurav Shah, MD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8"/>
          <w:szCs w:val="18"/>
          <w:color w:val="auto"/>
        </w:rPr>
        <w:t>April</w:t>
        <w:tab/>
        <w:t>, 2018</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gridSpan w:val="6"/>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EXPLANATORY NOTE</w:t>
              </w:r>
            </w:hyperlink>
          </w:p>
        </w:tc>
        <w:tc>
          <w:tcPr>
            <w:tcW w:w="9120" w:type="dxa"/>
            <w:vAlign w:val="bottom"/>
            <w:gridSpan w:val="27"/>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940" w:type="dxa"/>
            <w:vAlign w:val="bottom"/>
            <w:tcBorders>
              <w:bottom w:val="single" w:sz="8" w:color="0000EE"/>
            </w:tcBorders>
            <w:gridSpan w:val="6"/>
            <w:vMerge w:val="continue"/>
          </w:tcPr>
          <w:p>
            <w:pPr>
              <w:spacing w:after="0"/>
              <w:rPr>
                <w:sz w:val="13"/>
                <w:szCs w:val="13"/>
                <w:color w:val="auto"/>
              </w:rPr>
            </w:pPr>
          </w:p>
        </w:tc>
        <w:tc>
          <w:tcPr>
            <w:tcW w:w="9120" w:type="dxa"/>
            <w:vAlign w:val="bottom"/>
            <w:gridSpan w:val="2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060" w:type="dxa"/>
            <w:vAlign w:val="bottom"/>
            <w:gridSpan w:val="33"/>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QUESTIONS AND ANSWERS ABOUT THE ANNUAL MEETING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PROPOSAL 1 DECLASSIFICATION AMENDMENT TO THE CERTIFICATE OF INCORPORATION</w:t>
              </w:r>
            </w:hyperlink>
          </w:p>
        </w:tc>
        <w:tc>
          <w:tcPr>
            <w:tcW w:w="29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Background of the Proposal</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Proposed Amendment to Article VI of the Certificate of Incorporation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Removal of Directors Without Cause</w:t>
              </w:r>
            </w:hyperlink>
          </w:p>
        </w:tc>
        <w:tc>
          <w:tcPr>
            <w:tcW w:w="56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Text of the Proposed Amendment</w:t>
              </w:r>
            </w:hyperlink>
          </w:p>
        </w:tc>
        <w:tc>
          <w:tcPr>
            <w:tcW w:w="240" w:type="dxa"/>
            <w:vAlign w:val="bottom"/>
            <w:tcBorders>
              <w:top w:val="single" w:sz="8" w:color="0000EE"/>
            </w:tcBorders>
            <w:gridSpan w:val="3"/>
          </w:tcPr>
          <w:p>
            <w:pPr>
              <w:spacing w:after="0"/>
              <w:rPr>
                <w:sz w:val="17"/>
                <w:szCs w:val="17"/>
                <w:color w:val="auto"/>
              </w:rPr>
            </w:pPr>
          </w:p>
        </w:tc>
        <w:tc>
          <w:tcPr>
            <w:tcW w:w="802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Vote Required</w:t>
              </w:r>
            </w:hyperlink>
          </w:p>
        </w:tc>
        <w:tc>
          <w:tcPr>
            <w:tcW w:w="966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Our Recommendation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PROPOSAL 2 DIRECTOR REMOVAL AMENDMENT TO THE CERTIFICATE OF INCORPORATION</w:t>
              </w:r>
            </w:hyperlink>
          </w:p>
        </w:tc>
        <w:tc>
          <w:tcPr>
            <w:tcW w:w="27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Background of the Proposal</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Proposed Amendment to Article VI of the Certificate of Incorporation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Text of the Proposed Amendment</w:t>
              </w:r>
            </w:hyperlink>
          </w:p>
        </w:tc>
        <w:tc>
          <w:tcPr>
            <w:tcW w:w="2620" w:type="dxa"/>
            <w:vAlign w:val="bottom"/>
            <w:tcBorders>
              <w:top w:val="single" w:sz="8" w:color="0000EE"/>
            </w:tcBorders>
            <w:gridSpan w:val="12"/>
          </w:tcPr>
          <w:p>
            <w:pPr>
              <w:spacing w:after="0"/>
              <w:rPr>
                <w:sz w:val="17"/>
                <w:szCs w:val="17"/>
                <w:color w:val="auto"/>
              </w:rPr>
            </w:pPr>
          </w:p>
        </w:tc>
        <w:tc>
          <w:tcPr>
            <w:tcW w:w="56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Vote Required</w:t>
              </w:r>
            </w:hyperlink>
          </w:p>
        </w:tc>
        <w:tc>
          <w:tcPr>
            <w:tcW w:w="966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Our Recommendation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PROPOSAL 3 ELECTION OF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Vote Required</w:t>
              </w:r>
            </w:hyperlink>
          </w:p>
        </w:tc>
        <w:tc>
          <w:tcPr>
            <w:tcW w:w="2120" w:type="dxa"/>
            <w:vAlign w:val="bottom"/>
            <w:tcBorders>
              <w:top w:val="single" w:sz="8" w:color="0000EE"/>
            </w:tcBorders>
            <w:gridSpan w:val="18"/>
          </w:tcPr>
          <w:p>
            <w:pPr>
              <w:spacing w:after="0"/>
              <w:rPr>
                <w:sz w:val="17"/>
                <w:szCs w:val="17"/>
                <w:color w:val="auto"/>
              </w:rPr>
            </w:pPr>
          </w:p>
        </w:tc>
        <w:tc>
          <w:tcPr>
            <w:tcW w:w="75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Our Recommendation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PROPOSAL 4 ELECTION OF CLASS I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Vote Required</w:t>
              </w:r>
            </w:hyperlink>
          </w:p>
        </w:tc>
        <w:tc>
          <w:tcPr>
            <w:tcW w:w="2860" w:type="dxa"/>
            <w:vAlign w:val="bottom"/>
            <w:tcBorders>
              <w:top w:val="single" w:sz="8" w:color="0000EE"/>
            </w:tcBorders>
            <w:gridSpan w:val="19"/>
          </w:tcPr>
          <w:p>
            <w:pPr>
              <w:spacing w:after="0"/>
              <w:rPr>
                <w:sz w:val="17"/>
                <w:szCs w:val="17"/>
                <w:color w:val="auto"/>
              </w:rPr>
            </w:pPr>
          </w:p>
        </w:tc>
        <w:tc>
          <w:tcPr>
            <w:tcW w:w="68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Our Recommendation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DIRECTORS AND NOMINEES</w:t>
              </w:r>
            </w:hyperlink>
          </w:p>
        </w:tc>
        <w:tc>
          <w:tcPr>
            <w:tcW w:w="852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Nominees for Election as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Information about Our Executive Officers</w:t>
              </w:r>
            </w:hyperlink>
          </w:p>
        </w:tc>
        <w:tc>
          <w:tcPr>
            <w:tcW w:w="76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Information about the Board and Corporate Governance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AUDIT COMMITTEE REPORT</w:t>
              </w:r>
            </w:hyperlink>
          </w:p>
        </w:tc>
        <w:tc>
          <w:tcPr>
            <w:tcW w:w="846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PROPOSAL 5 RATIFICATION OF APPOINTMENT OF INDEPENDENT REGISTERED PUBLIC ACCOUNTING FIRM</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Vote Required</w:t>
              </w:r>
            </w:hyperlink>
          </w:p>
        </w:tc>
        <w:tc>
          <w:tcPr>
            <w:tcW w:w="8200" w:type="dxa"/>
            <w:vAlign w:val="bottom"/>
            <w:tcBorders>
              <w:top w:val="single" w:sz="8" w:color="0000EE"/>
            </w:tcBorders>
            <w:gridSpan w:val="26"/>
          </w:tcPr>
          <w:p>
            <w:pPr>
              <w:spacing w:after="0"/>
              <w:rPr>
                <w:sz w:val="17"/>
                <w:szCs w:val="17"/>
                <w:color w:val="auto"/>
              </w:rPr>
            </w:pPr>
          </w:p>
        </w:tc>
        <w:tc>
          <w:tcPr>
            <w:tcW w:w="14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Our Recommendation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Dismissal of RSM US LLP</w:t>
              </w:r>
            </w:hyperlink>
          </w:p>
        </w:tc>
        <w:tc>
          <w:tcPr>
            <w:tcW w:w="868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Pre-Approval Policies and Procedures</w:t>
              </w:r>
            </w:hyperlink>
          </w:p>
        </w:tc>
        <w:tc>
          <w:tcPr>
            <w:tcW w:w="794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Audit Fees and Services</w:t>
              </w:r>
            </w:hyperlink>
          </w:p>
        </w:tc>
        <w:tc>
          <w:tcPr>
            <w:tcW w:w="894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PROPOSAL 6 APPROVAL OF THE COMPANY’S SECOND AMENDED AND RESTATED 2014 STOCK OPTION AND INCENTIVE</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PLAN</w:t>
              </w:r>
            </w:hyperlink>
          </w:p>
        </w:tc>
        <w:tc>
          <w:tcPr>
            <w:tcW w:w="9840" w:type="dxa"/>
            <w:vAlign w:val="bottom"/>
            <w:tcBorders>
              <w:top w:val="single" w:sz="8" w:color="0000EE"/>
            </w:tcBorders>
            <w:gridSpan w:val="29"/>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Background of the Proposal</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Summary of the Proposed 2014 Plan</w:t>
              </w:r>
            </w:hyperlink>
          </w:p>
        </w:tc>
        <w:tc>
          <w:tcPr>
            <w:tcW w:w="80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Plan Benefits</w:t>
              </w:r>
            </w:hyperlink>
          </w:p>
        </w:tc>
        <w:tc>
          <w:tcPr>
            <w:tcW w:w="972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Tax Aspects under the Code</w:t>
              </w:r>
            </w:hyperlink>
          </w:p>
        </w:tc>
        <w:tc>
          <w:tcPr>
            <w:tcW w:w="866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Vote Required</w:t>
              </w:r>
            </w:hyperlink>
          </w:p>
        </w:tc>
        <w:tc>
          <w:tcPr>
            <w:tcW w:w="966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Our Recommendation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EXECUTIVE COMPENSATION</w:t>
              </w:r>
            </w:hyperlink>
          </w:p>
        </w:tc>
        <w:tc>
          <w:tcPr>
            <w:tcW w:w="844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Merger with Rocket Pharmaceuticals, Ltd.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Summary Compensation Table</w:t>
              </w:r>
            </w:hyperlink>
          </w:p>
        </w:tc>
        <w:tc>
          <w:tcPr>
            <w:tcW w:w="820" w:type="dxa"/>
            <w:vAlign w:val="bottom"/>
            <w:tcBorders>
              <w:top w:val="single" w:sz="8" w:color="0000EE"/>
            </w:tcBorders>
            <w:gridSpan w:val="8"/>
          </w:tcPr>
          <w:p>
            <w:pPr>
              <w:spacing w:after="0"/>
              <w:rPr>
                <w:sz w:val="17"/>
                <w:szCs w:val="17"/>
                <w:color w:val="auto"/>
              </w:rPr>
            </w:pPr>
          </w:p>
        </w:tc>
        <w:tc>
          <w:tcPr>
            <w:tcW w:w="76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All Other Compensation Table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3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Executive Agreements; Termination and Change of Control Benefits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Equity Incentive Awards</w:t>
              </w:r>
            </w:hyperlink>
          </w:p>
        </w:tc>
        <w:tc>
          <w:tcPr>
            <w:tcW w:w="3140" w:type="dxa"/>
            <w:vAlign w:val="bottom"/>
            <w:tcBorders>
              <w:top w:val="single" w:sz="8" w:color="0000EE"/>
            </w:tcBorders>
            <w:gridSpan w:val="18"/>
          </w:tcPr>
          <w:p>
            <w:pPr>
              <w:spacing w:after="0"/>
              <w:rPr>
                <w:sz w:val="17"/>
                <w:szCs w:val="17"/>
                <w:color w:val="auto"/>
              </w:rPr>
            </w:pPr>
          </w:p>
        </w:tc>
        <w:tc>
          <w:tcPr>
            <w:tcW w:w="57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gridSpan w:val="5"/>
            <w:vMerge w:val="restart"/>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DIRECTOR COMPENSATION</w:t>
              </w:r>
            </w:hyperlink>
          </w:p>
        </w:tc>
        <w:tc>
          <w:tcPr>
            <w:tcW w:w="8540" w:type="dxa"/>
            <w:vAlign w:val="bottom"/>
            <w:gridSpan w:val="9"/>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520" w:type="dxa"/>
            <w:vAlign w:val="bottom"/>
            <w:tcBorders>
              <w:bottom w:val="single" w:sz="8" w:color="0000EE"/>
            </w:tcBorders>
            <w:gridSpan w:val="5"/>
            <w:vMerge w:val="continue"/>
          </w:tcPr>
          <w:p>
            <w:pPr>
              <w:spacing w:after="0"/>
              <w:rPr>
                <w:sz w:val="13"/>
                <w:szCs w:val="13"/>
                <w:color w:val="auto"/>
              </w:rPr>
            </w:pPr>
          </w:p>
        </w:tc>
        <w:tc>
          <w:tcPr>
            <w:tcW w:w="8540" w:type="dxa"/>
            <w:vAlign w:val="bottom"/>
            <w:gridSpan w:val="9"/>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1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Director Compensation Table</w:t>
              </w:r>
            </w:hyperlink>
          </w:p>
        </w:tc>
        <w:tc>
          <w:tcPr>
            <w:tcW w:w="8560" w:type="dxa"/>
            <w:vAlign w:val="bottom"/>
            <w:gridSpan w:val="10"/>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TRANSACTIONS WITH RELATED PERSONS</w:t>
              </w:r>
            </w:hyperlink>
          </w:p>
        </w:tc>
        <w:tc>
          <w:tcPr>
            <w:tcW w:w="72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0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Policies and Procedures for Related Person Transactions</w:t>
              </w:r>
            </w:hyperlink>
          </w:p>
        </w:tc>
        <w:tc>
          <w:tcPr>
            <w:tcW w:w="66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1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Certain Related-Person Transactions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SECURITY OWNERSHIP OF CERTAIN BENEFICIAL OWNERS AND MANAGEMENT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710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SECTION 16(A) BENEFICIAL OWNERSHIP REPORTING COMPLIANCE</w:t>
              </w:r>
            </w:hyperlink>
          </w:p>
        </w:tc>
        <w:tc>
          <w:tcPr>
            <w:tcW w:w="39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SECURITIES AUTHORIZED FOR ISSUANCE UNDER EQUITY COMPENSATION PLANS</w:t>
              </w:r>
            </w:hyperlink>
          </w:p>
        </w:tc>
        <w:tc>
          <w:tcPr>
            <w:tcW w:w="37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9"/>
              </w:rPr>
            </w:pPr>
            <w:hyperlink w:anchor="page47">
              <w:r>
                <w:rPr>
                  <w:rFonts w:ascii="Arial" w:cs="Arial" w:eastAsia="Arial" w:hAnsi="Arial"/>
                  <w:sz w:val="18"/>
                  <w:szCs w:val="18"/>
                  <w:b w:val="1"/>
                  <w:bCs w:val="1"/>
                  <w:color w:val="0000EE"/>
                  <w:w w:val="99"/>
                </w:rPr>
                <w:t>STOCKHOLDER PROPOSALS AND NOMINATIONS</w:t>
              </w:r>
            </w:hyperlink>
          </w:p>
        </w:tc>
        <w:tc>
          <w:tcPr>
            <w:tcW w:w="67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MATTERS</w:t>
              </w:r>
            </w:hyperlink>
          </w:p>
        </w:tc>
        <w:tc>
          <w:tcPr>
            <w:tcW w:w="948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AVAILABILITY OF CERTAIN DOCUMENTS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APPENDIX A</w:t>
              </w:r>
            </w:hyperlink>
          </w:p>
        </w:tc>
        <w:tc>
          <w:tcPr>
            <w:tcW w:w="74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7"/>
        </w:trPr>
        <w:tc>
          <w:tcPr>
            <w:tcW w:w="3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2018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January 4, 2018, Inotek Pharmaceuticals Corporation (“Inotek”) and privately held Rocket Pharmaceuticals, Ltd. (“Private Rocket”) completed a business combination in accordance with the terms of the Agreement and Plan of Merger and Reorganization (the “Merger Agreement”), dated as of September 12, 2017, by and among Inotek, Rome Merger Sub, a wholly owned subsidiary of Inotek (“Merger Sub”), and Private Rocket, pursuant to which Merger Sub merged with and into Private Rocket, with Private Rocket surviving as a wholly owned subsidiary of Inotek. This transaction is referred to as the “Reverse Merger.” Immediately following the Reverse Merger, Inotek changed its name to “Rocket Pharmaceuticals, Inc.” In connection with the closing of the Reverse Merger, our common stock began trading on The Nasdaq Global Market under the ticker symbol “RCKT” on January 5, 2018.</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former executive officers and a majority of the Board of Directors of Inotek (the “Inotek Board”) resigned concurrent with the closing of the Reverse Merger. In addition, in March 2018, we dismissed Inotek’s independent registered public accounting firm, RSM US LLP, and appointed the independent registered public accounting firm of Private Rocket, EisnerAmper LLP, as auditor of the combined company. Throughout this proxy statement we discuss both the former executive officers and members of the Board or Directors of Inotek and the current executive officers and members of the Board of Directors of Rocket Pharmaceuticals, Inc., the combined company.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Immediately prior to the Reverse Merger, Inotek completed a 1-for-4 reverse stock split (the “Stock Split”). All share and per share amounts in this proxy statement reflect the Stock Split unless otherwise noted. As a result of the Reverse Merger, and after giving effect to the Stock Split, each outstanding share of Private Rocket share capital (including shares of Private Rocket share capital to be issued upon exercise of outstanding share options) automatically converted into the right to receive approximately 76.185 shares of the combined company’s common stock (the “Exchange Ratio”), par value $0.001 per share. Immediately following the Reverse Merger, the former holders of Private Rocket common stock owned approximately 81.357% of the fully-diluted common stock of the Company, with the holders of Inotek’s common stock immediately prior to the Reverse Merger owning approximately 18.643% of the fully-diluted common stock of the combined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proxy statement, the “Company,” “we,” “us” and “our” refer to Rocket Pharmaceuticals, Inc., the combined company.</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including the compensation disclosures required of a “smaller reporting company,” as that term is defined in Rule 12b-2 promulgated under the Securities Exchange Act of 1934, as amended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in which we have total annual gross revenues of $1.07 billion or more; (ii) December 31, 2020; (iii) the date on which we have issued more than $1 billion in nonconvertible debt during the previous</w:t>
      </w:r>
    </w:p>
    <w:p>
      <w:pPr>
        <w:spacing w:after="0" w:line="3" w:lineRule="exact"/>
        <w:rPr>
          <w:sz w:val="20"/>
          <w:szCs w:val="20"/>
          <w:color w:val="auto"/>
        </w:rPr>
      </w:pPr>
    </w:p>
    <w:p>
      <w:pPr>
        <w:jc w:val="center"/>
        <w:ind w:right="180"/>
        <w:spacing w:after="0" w:line="433" w:lineRule="auto"/>
        <w:rPr>
          <w:sz w:val="20"/>
          <w:szCs w:val="20"/>
          <w:color w:val="auto"/>
        </w:rPr>
      </w:pPr>
      <w:r>
        <w:rPr>
          <w:rFonts w:ascii="Arial" w:cs="Arial" w:eastAsia="Arial" w:hAnsi="Arial"/>
          <w:sz w:val="18"/>
          <w:szCs w:val="18"/>
          <w:color w:val="auto"/>
        </w:rPr>
        <w:t>three years; or (iv) the date on which we are deemed to be a large accelerated filer under the rules of the Securities and Exchange Commission (the “SEC”). 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is our Annual Meeting?</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will hold our Annual Meeting on June 25, 2018 at 8:30 a.m. local time, at the offices of Gibson, Dunn &amp; Crutcher LLP, located at 200 Park Avenue, New York, NY 10166. The term “Annual Meeting,” as used in this proxy statement, includes any adjournment or postponement of such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sent you this proxy statement and the enclosed proxy card because the Board is soliciting your proxy to vote at the 2018 Annual Meeting. This proxy statement and proxy card is being mailed to stockholders on or about April ,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Only stockholders of record as of the close of business on April 26, 2018, will be entitled to vote at the Annual Meeting. On this date, there were shares of common stock issued and outstanding and entitled to vote.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on April 26, 2018, your shares were registered directly in your name with our transfer agent, Continental Stock Transfer &amp; Trust, then you are a stockholder of record. As a stockholder of record, you may vote in person at the Annual Meeting or vote by proxy. Whether or not you plan to attend the Annual Meeting, we urge you to fill out and return the enclosed proxy card by mail or vote by proxy over the telephone or the Internet as instructed below to ensure your vote is counted.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17"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If, on April 26, 2018, your shares were held not in your name with our transfer agent,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Simply complete and mail the proxy card and voting instructions to ensure that your vote is counted. Alternatively, you may vote by telephone or over the Internet as instructed by your broker or bank, if applicable. To vote in person at the Annual Meeting, you must obtain a valid proxy from your broker, bank, or other agent. Follow the instructions from your broker or bank included with these proxy materials, or contact your broker or bank to request a proxy form.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at least a majority of our outstanding shares entitled to vote at the Annual Meeting are present at the Annual Meeting in person or represented by proxy. Your shares will be counted towards the quorum only if you submit a valid proxy (or one is submitted on your behalf by your broker, bank or other nominee) or if you vote in person at the Annual Meeting or vote by proxy over the telephone or the Internet as instructed below. Abstentions and broker non-votes will be counted towards the quorum requirement. If there is no quorum, the chairperson of the Annual Meeting or the holders of a majority of shares present at the Annual Meeting in person or represented by proxy may adjourn the Annual Meeting to another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 and how many votes are needed to approve each proposal?</w:t>
      </w:r>
    </w:p>
    <w:p>
      <w:pPr>
        <w:spacing w:after="0" w:line="12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i w:val="1"/>
          <w:iCs w:val="1"/>
          <w:color w:val="auto"/>
        </w:rPr>
        <w:t xml:space="preserve">Proposals 1 and 2: Amendment of Seventh Amended and Restated Certificate of Incorporation. </w:t>
      </w:r>
      <w:r>
        <w:rPr>
          <w:rFonts w:ascii="Arial" w:cs="Arial" w:eastAsia="Arial" w:hAnsi="Arial"/>
          <w:sz w:val="16"/>
          <w:szCs w:val="16"/>
          <w:color w:val="auto"/>
        </w:rPr>
        <w:t>The amendments to the Seventh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will require “FOR” votes from the holders of not less than 75% of the shares entitled to vote on the amendment.</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Proposals 3 and 4: Election of Directors</w:t>
      </w:r>
      <w:r>
        <w:rPr>
          <w:rFonts w:ascii="Arial" w:cs="Arial" w:eastAsia="Arial" w:hAnsi="Arial"/>
          <w:sz w:val="18"/>
          <w:szCs w:val="18"/>
          <w:color w:val="auto"/>
        </w:rPr>
        <w:t>. The directors will be elected by a plurality of the votes cast at the Annual Meeting by the holders of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or represented by proxy and entitled to vote on the election of the directors. Plurality means that the individuals who receive the largest number of “FOR” votes cast are elected as directors up to the maximum number of directors to be chosen at the Annual Meeting. Accordingly, the seven nominees, if the stockholders approve Proposal 1, and the two nominees, if the stockholders do not approve Proposal 1, receiving the most “FOR” votes will be elected as directors. If you “withhold” your vote with respect to one or more of the nominees, your shares will not be included in determining the number of votes cast and, as a result, will have no effect on this proposal.</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Proposals 5 and 6: Ratification of Appointment of Independent Registered Public Accounting Firm and Approval of Second Amended and Restated 2014 Stock Option and Incentive Plan</w:t>
      </w:r>
      <w:r>
        <w:rPr>
          <w:rFonts w:ascii="Arial" w:cs="Arial" w:eastAsia="Arial" w:hAnsi="Arial"/>
          <w:sz w:val="18"/>
          <w:szCs w:val="18"/>
          <w:color w:val="auto"/>
        </w:rPr>
        <w:t>. The ratification of the appointment of EisnerAmper LLP as the Company’s independent registered public accounting firm</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ending December 31, 2018 and the approval of the Second Amended and Restated 2014 Stock Option and Incentive Plan will require “FOR” votes from a majority of the votes cast at the Annual Meeting by the holders of shares present in person or represented by proxy and entitled to vote on this proposal.</w:t>
      </w:r>
    </w:p>
    <w:p>
      <w:pPr>
        <w:spacing w:after="0" w:line="18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Abstentions and broker non-votes will not be counted as votes cast and will have no effect on the voting on the proposals referenced above, with the exception of Proposals 1 and 2, where abstentions and broker non-votes will have the effect of being counted as a vote “against” these proposals.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Broker non-votes occur when a beneficial owner of shares held in “street name” does not give instructions to the broker or nominee holding the shares as to how to vote. If the beneficial owner does not provide voting instructions, the broker or nominee may vote the shares with respect to matters that are considered to be “discretionary,” but may not vote the shares with respect to “non-discretionary” matters. Where a broker does not have discretion to vote on a given proposal, the unvoted shares are considered “broker non-votes.”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each matter to be voted upon, you have one vote for each share of common stock you owned as of April 26,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You may receive more than one proxy card if your shares are registered in more than one name or are registered in different accounts. Please vote in the manner described below under “How do I vote?” for each proxy card to ensure that all of your shares are voted.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 my shares?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Unless you give other instructions on your proxy card, the persons named as proxies on the card will vote in accordance with the recommendations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The Board’s recommendation is set forth together with the description of each item in this proxy statement. The Board recommends a vote:</w:t>
      </w:r>
    </w:p>
    <w:p>
      <w:pPr>
        <w:spacing w:after="0" w:line="128" w:lineRule="exact"/>
        <w:rPr>
          <w:sz w:val="20"/>
          <w:szCs w:val="20"/>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amendments to the Seventh Amended and Restated Certificate of Incorporation;</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the nominees to the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right="60" w:hanging="44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EisnerAmper LLP as our independent registered public accounting firm for the fiscal year ending December 31, 2018;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Second Amended and Restated 2014 Stock Option and Incentive Plan.</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With respect to any other matter that properly comes before the Annual Meeting, the proxies will vote as recommended by the Board or, if no recommendation is given, in their own discretion in the best interest of the Company and its stockholders. As of the date of this proxy statement, the Board had no knowledge of any business other than that described herein that would be presented for consideration at the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election of directors (Proposals 3 and 4), you may either vote “FOR” all or some of the nominees or you may “WITHHOLD” your vote for any nominee you specify. For the other matters to be voted on, you may vote “FOR” or “AGAINST,” or you may “ABSTAIN” from voting. The procedures for voting are as follows: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are a stockholder of record, you may (a) vote in person at the Annual Meeting or (b) vote by proxy. Whether or not you plan to attend the Annual Meeting, we urge you to fill out and return the enclosed proxy card by mail or vote by proxy over the telephone or the Internet as instructed below to ensure your vote is counted. You may still attend the Annual Meeting and vote in person even if you have already voted by proxy, as described under “May I change my vote after submitting my proxy card?” below.</w:t>
      </w:r>
    </w:p>
    <w:p>
      <w:pPr>
        <w:spacing w:after="0" w:line="92" w:lineRule="exact"/>
        <w:rPr>
          <w:sz w:val="20"/>
          <w:szCs w:val="20"/>
          <w:color w:val="auto"/>
        </w:rPr>
      </w:pPr>
    </w:p>
    <w:p>
      <w:pPr>
        <w:ind w:left="1020" w:right="240" w:hanging="44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To vote on the Internet, 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to complete an electronic proxy card. Please have the enclosed proxy card available. Your vote must be received by 11:59 P.M., Eastern Time, on June 24, 2018, to be counted.</w:t>
      </w:r>
    </w:p>
    <w:p>
      <w:pPr>
        <w:spacing w:after="0" w:line="75" w:lineRule="exact"/>
        <w:rPr>
          <w:rFonts w:ascii="Arial" w:cs="Arial" w:eastAsia="Arial" w:hAnsi="Arial"/>
          <w:sz w:val="18"/>
          <w:szCs w:val="18"/>
          <w:color w:val="auto"/>
        </w:rPr>
      </w:pPr>
    </w:p>
    <w:p>
      <w:pPr>
        <w:ind w:left="1020" w:right="500" w:hanging="445"/>
        <w:spacing w:after="0" w:line="34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vote over the telephone, dial toll-free 1-800-690-6903 using a touch-tone phone and follow the recorded instructions. Please have the enclosed proxy card available. Your vote must be received by 11:59 P.M., Eastern Time, on June 24, 2018, to be counted.</w:t>
      </w:r>
    </w:p>
    <w:p>
      <w:pPr>
        <w:spacing w:after="0" w:line="29" w:lineRule="exact"/>
        <w:rPr>
          <w:rFonts w:ascii="Arial" w:cs="Arial" w:eastAsia="Arial" w:hAnsi="Arial"/>
          <w:sz w:val="16"/>
          <w:szCs w:val="16"/>
          <w:color w:val="auto"/>
        </w:rPr>
      </w:pPr>
    </w:p>
    <w:p>
      <w:pPr>
        <w:ind w:left="1020" w:right="180" w:hanging="44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vote by proxy, simply complete, sign and date the enclosed proxy card and return it promptly in the envelope provided. If you return your signed proxy card to us before the Annual Meeting, the designated proxy holders will vote your shares as you direct.</w:t>
      </w:r>
    </w:p>
    <w:p>
      <w:pPr>
        <w:spacing w:after="0" w:line="51" w:lineRule="exact"/>
        <w:rPr>
          <w:rFonts w:ascii="Arial" w:cs="Arial" w:eastAsia="Arial" w:hAnsi="Arial"/>
          <w:sz w:val="17"/>
          <w:szCs w:val="17"/>
          <w:color w:val="auto"/>
        </w:rPr>
      </w:pPr>
    </w:p>
    <w:p>
      <w:pPr>
        <w:ind w:left="1020" w:hanging="44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in person, come to the Annual Meeting, and we will give you a ballot when you arrive.</w:t>
      </w:r>
    </w:p>
    <w:p>
      <w:pPr>
        <w:spacing w:after="0" w:line="329"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b w:val="1"/>
          <w:bCs w:val="1"/>
          <w:color w:val="auto"/>
        </w:rPr>
        <w:t>If you sign the proxy card but do not make specific choices, your proxy will vote your shares “FOR” the amendments to the Seventh Amended and Restated Certificate of Incorporation, “FOR” all seven nominees to the Board, in the case of Proposal 3, or for both nominees to the Board, in the case of Proposal 4, “FOR” the ratification of EisnerAmper LLP as our independent registered public accounting firm and “FOR” the approval of the Second Amended and Restated 2014 Stock Option and Incentive Plan.</w:t>
      </w:r>
    </w:p>
    <w:p>
      <w:pPr>
        <w:spacing w:after="0" w:line="16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If any other matter is presented, the proxies will vote as recommended by the Board or, if no recommendation is given, in their own discretion in the best interest of the Company and its stockholders. As of the date of this proxy statement, we know of no other matters that may be presented at the Annual Meeting, other than those listed in the Notice of Annual Meeting of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Bank or Other Agent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proxy card and voting instructions with these proxy materials from that organization rather than from us. Simply complete and mail the proxy card and voting instructions to ensure that your vote is counted.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Alternatively, you may vote by telephone or over the Internet as instructed by your broker, bank or other agent, if applicable. To vote in person at the Annual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 after submitting my proxy card?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stockholder of record of your shares, you may revoke your proxy in any one of the following four ways:</w:t>
      </w:r>
    </w:p>
    <w:p>
      <w:pPr>
        <w:spacing w:after="0" w:line="76" w:lineRule="exact"/>
        <w:rPr>
          <w:sz w:val="20"/>
          <w:szCs w:val="20"/>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send a timely written revocation of the proxy to our Secretary;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 signed proxy card bearing a later date;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a new vote over the Internet or by telephone; or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 and vote in person at the Annual Meeting.</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your shares are not registered in your own name, you will need the appropriate documentation from the stockholder of record to vote personally at the Annual Meeting. If your shares are held by your broker, bank or another party as a nominee or agent, you should follow the instructions provided by such party. Your personal attendance at the Annual Meeting does not revoke your proxy. Your last vote, prior to or at the Annual Meeting, is the vote that will be counted.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bear the expense of soliciting proxies?</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will bear the cost of the solicitation of proxies, including the preparation, assembly, printing and mailing of this proxy statement, the proxy card and any additional information furnished to stockholders. Copies of solicitation materials will be furnished to banks, brokerage houses, fiduciaries and custodians holding in their names shares of our common stock beneficially owned by others to forward to such beneficial owners. We may reimburse persons representing beneficial owners of our common stock for their costs of forwarding solicitation materials to such beneficial owners. Original solicitation of proxies by mail may be supplemented by solicitation by telephone, via the Internet or in person by our directors, officers or other regular employees. No additional compensation will be paid to directors, officers or other regular employees for such services. In addition, we have engaged The Proxy Advisory Group, LLC to assist in the solicitation of proxies and provide related advice and informational support, for a services fee and the reimbursement of customary disbursements, which are not expected to exceed $15,000 in total.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the voting results from the Annual Meeting?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Preliminary voting results will be announced at our Annual Meeting. Final voting results will be published in a Current Report on Form 8-K that we expect to file no later than four business days after the Annual Meeting. If final voting results are not available by the time we file the Form 8-K, we will disclose the preliminary results in the Form 8-K and, within four business days after the final voting results are known to us, file an amended Form 8-K to disclose the final voting results.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DECLASSIFICATION AMENDMENT TO THE CERTIFICATE OF INCORPORATION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Backgroundof the Proposal</w:t>
      </w:r>
    </w:p>
    <w:p>
      <w:pPr>
        <w:spacing w:after="0" w:line="18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Company’s Seventh Amended and Restated Certificate of Incorporation (the “Certificate of Incorporation”) currently provides for a classified Board divided into three classes, with each class being elected for a three-year term. On March 29, 2018, the Board approved, and recommended that the stockholders approve, an amendment (the “Declassification Amendment”) to the Certificate of Incorporation to declassify the Board and provide for the annual election of each of the Company’s directors, effective at the 2018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ProposedAmendment to Article VI of the Certificate of Incorporation</w:t>
      </w:r>
    </w:p>
    <w:p>
      <w:pPr>
        <w:spacing w:after="0" w:line="18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After careful consideration, the Board has determined that it is advisable and in the best interests of the Company and its stockholders to declassify the Board to allow the Company’s stockholders to vote on the election of directors generally on an annual basis, rather than on a staggered basis.</w:t>
      </w:r>
    </w:p>
    <w:p>
      <w:pPr>
        <w:spacing w:after="0" w:line="12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Board carefully considered the advantages and disadvantages of the current classified structure. In reaching its determination to propose the declassification of the Board, it concluded that the benefits of a classified structure, including maintaining continuity of experience and encouraging a person seeking control of the Company to initiate arm’s length discussions with management and the Board, were outweighed by the following considerations:</w:t>
      </w:r>
    </w:p>
    <w:p>
      <w:pPr>
        <w:spacing w:after="0" w:line="295" w:lineRule="exact"/>
        <w:rPr>
          <w:sz w:val="20"/>
          <w:szCs w:val="20"/>
          <w:color w:val="auto"/>
        </w:rPr>
      </w:pPr>
    </w:p>
    <w:p>
      <w:pPr>
        <w:ind w:left="1020" w:right="160" w:hanging="445"/>
        <w:spacing w:after="0" w:line="26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Board’s belief that providing the Company’s stockholders with the opportunity to annually register their views on the collective performance of the Board and on each director individually will further the Company’s goal of ensuring that its corporate governance policies conform to best practices and maximize accountability to the stockholders;</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discussions with certain of the Company’s stockholders who prefer the annual election of directors;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growing sentiment among the investment community in favor of the annual election of directors.</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If the Declassification Amendment is adopted by the Company’s stockholders, beginning at the 2018 Annual Meeting and at each annual meeting of stockholders thereafter, all directors scheduled to stand for election will be eligible to serve a one-year term expiring at the subsequent annual meeting of stockholders.</w:t>
      </w:r>
    </w:p>
    <w:p>
      <w:pPr>
        <w:spacing w:after="0" w:line="14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If the Declassification Amendment is not adopted by the Company’s stockholders, the Board will remain classified and the current Class I directors standing for election at the 2018 Annual Meeting will be eligible to serve a three-year term expiring at the Company’s 2021 annual meeting of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Removalof Directors Without Cause</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Delaware corporate law provides that, unless a company’s certificate of incorporation provides otherwise, members of a classified board of directors may be removed only for cause. At present, because the Board is classified, our Certificate of Incorporation provides that directors are removable only for cause. If this proposal is approved by our stockholders, our Certificate of Incorporation will be amended to remove this provision such that directors may be removed with or without cause after the Board is no longer classified. If the Declassification Amendment is not adopted by the Company’s stockholders, the Board will remain classified and our stockholders will be able to remove directors only for cause.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Textof the Proposed Amendment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proposed Declassification Amendment is as follows: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Article VI, Sections 3, 4 and 5.</w:t>
      </w:r>
    </w:p>
    <w:p>
      <w:pPr>
        <w:spacing w:after="0" w:line="252" w:lineRule="exact"/>
        <w:rPr>
          <w:sz w:val="20"/>
          <w:szCs w:val="20"/>
          <w:color w:val="auto"/>
        </w:rPr>
      </w:pPr>
    </w:p>
    <w:p>
      <w:pPr>
        <w:ind w:left="800" w:firstLine="7"/>
        <w:spacing w:after="0" w:line="269"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xml:space="preserve">. The number of Directors of the Corporation shall be fixed solely and exclusively by resolution duly adopted from time to time by the Board of Directors. </w:t>
      </w:r>
      <w:r>
        <w:rPr>
          <w:rFonts w:ascii="Arial" w:cs="Arial" w:eastAsia="Arial" w:hAnsi="Arial"/>
          <w:sz w:val="17"/>
          <w:szCs w:val="17"/>
          <w:color w:val="auto"/>
          <w:strike w:val="1"/>
        </w:rPr>
        <w:t>The Directors, other than those who may be elected by the holders of any series of</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Undesignated Preferred Stock, shall be classified, with respect to the term for which they severally hold office, into three classes. The initial Class I Directors of the Corporation shall be Devang Kantesaria and David P. Southwell; the initial Class II Directors of the Corporation shall be Martin Vogelbaum, Isai Peimer and Ittai Harel; and the initial Class III Directors of the Corporation shall be Paul Howes and A.N. “Jerry” Karabelas. The initial Class I Directors shall serve for a term expiring at the annual meeting of stockholders to be held in 2015, the initial Class II Directors shall serve for a term expiring at the annual meeting of stockholders to be held in 2016, and the initial Class III Directors shall serve for a term expiring at the annual meeting of stockholders to be held in 2017. At each annual meeting of stockholders, Directors elected to succeed those Directors whose terms expire shall be elected for a term of office to expire at the third succeeding </w:t>
      </w:r>
      <w:r>
        <w:rPr>
          <w:rFonts w:ascii="Arial" w:cs="Arial" w:eastAsia="Arial" w:hAnsi="Arial"/>
          <w:sz w:val="17"/>
          <w:szCs w:val="17"/>
          <w:u w:val="single" w:color="auto"/>
          <w:color w:val="auto"/>
          <w:strike w:val="1"/>
        </w:rPr>
        <w:t>next</w:t>
      </w:r>
      <w:r>
        <w:rPr>
          <w:rFonts w:ascii="Arial" w:cs="Arial" w:eastAsia="Arial" w:hAnsi="Arial"/>
          <w:sz w:val="17"/>
          <w:szCs w:val="17"/>
          <w:color w:val="auto"/>
          <w:strike w:val="1"/>
        </w:rPr>
        <w:t xml:space="preserve">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56" w:lineRule="exact"/>
        <w:rPr>
          <w:sz w:val="20"/>
          <w:szCs w:val="20"/>
          <w:color w:val="auto"/>
        </w:rPr>
      </w:pPr>
    </w:p>
    <w:p>
      <w:pPr>
        <w:ind w:left="800"/>
        <w:spacing w:after="0" w:line="279" w:lineRule="auto"/>
        <w:rPr>
          <w:sz w:val="20"/>
          <w:szCs w:val="20"/>
          <w:color w:val="auto"/>
        </w:rPr>
      </w:pPr>
      <w:r>
        <w:rPr>
          <w:rFonts w:ascii="Arial" w:cs="Arial" w:eastAsia="Arial" w:hAnsi="Arial"/>
          <w:sz w:val="17"/>
          <w:szCs w:val="17"/>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31" w:lineRule="exact"/>
        <w:rPr>
          <w:sz w:val="20"/>
          <w:szCs w:val="20"/>
          <w:color w:val="auto"/>
        </w:rPr>
      </w:pPr>
    </w:p>
    <w:p>
      <w:pPr>
        <w:ind w:left="800" w:firstLine="7"/>
        <w:spacing w:after="0" w:line="287"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w:t>
      </w:r>
      <w:r>
        <w:rPr>
          <w:rFonts w:ascii="Arial" w:cs="Arial" w:eastAsia="Arial" w:hAnsi="Arial"/>
          <w:sz w:val="16"/>
          <w:szCs w:val="16"/>
          <w:color w:val="auto"/>
          <w:strike w:val="1"/>
        </w:rPr>
        <w:t>hold office for the remainder of the full term</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of the class of Directors in which the new directorship was created or the vacancy occurred and </w:t>
      </w:r>
      <w:r>
        <w:rPr>
          <w:rFonts w:ascii="Arial" w:cs="Arial" w:eastAsia="Arial" w:hAnsi="Arial"/>
          <w:sz w:val="16"/>
          <w:szCs w:val="16"/>
          <w:u w:val="single" w:color="auto"/>
          <w:color w:val="auto"/>
          <w:strike w:val="1"/>
        </w:rPr>
        <w:t>serve for a term expiring at the next annual</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meeting of stockholders after his or her appointment and shall hold office</w:t>
      </w:r>
      <w:r>
        <w:rPr>
          <w:rFonts w:ascii="Arial" w:cs="Arial" w:eastAsia="Arial" w:hAnsi="Arial"/>
          <w:sz w:val="16"/>
          <w:szCs w:val="16"/>
          <w:color w:val="auto"/>
          <w:strike w:val="1"/>
        </w:rPr>
        <w:t xml:space="preserve">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provided, however, that no </w:t>
      </w:r>
      <w:r>
        <w:rPr>
          <w:rFonts w:ascii="Arial" w:cs="Arial" w:eastAsia="Arial" w:hAnsi="Arial"/>
          <w:sz w:val="16"/>
          <w:szCs w:val="16"/>
          <w:u w:val="single" w:color="auto"/>
          <w:color w:val="auto"/>
          <w:strike w:val="1"/>
        </w:rPr>
        <w:t>No</w:t>
      </w:r>
      <w:r>
        <w:rPr>
          <w:rFonts w:ascii="Arial" w:cs="Arial" w:eastAsia="Arial" w:hAnsi="Arial"/>
          <w:sz w:val="16"/>
          <w:szCs w:val="16"/>
          <w:color w:val="auto"/>
          <w:strike w:val="1"/>
        </w:rPr>
        <w:t xml:space="preserve">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8" w:lineRule="exact"/>
        <w:rPr>
          <w:rFonts w:ascii="Arial" w:cs="Arial" w:eastAsia="Arial" w:hAnsi="Arial"/>
          <w:sz w:val="16"/>
          <w:szCs w:val="16"/>
          <w:color w:val="auto"/>
        </w:rPr>
      </w:pPr>
    </w:p>
    <w:p>
      <w:pPr>
        <w:ind w:left="800" w:right="200" w:firstLine="7"/>
        <w:spacing w:after="0" w:line="25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w:t>
      </w:r>
      <w:r>
        <w:rPr>
          <w:rFonts w:ascii="Arial" w:cs="Arial" w:eastAsia="Arial" w:hAnsi="Arial"/>
          <w:sz w:val="18"/>
          <w:szCs w:val="18"/>
          <w:color w:val="auto"/>
          <w:strike w:val="1"/>
        </w:rPr>
        <w:t>(i) only with cause and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 or without cause,</w:t>
      </w:r>
      <w:r>
        <w:rPr>
          <w:rFonts w:ascii="Arial" w:cs="Arial" w:eastAsia="Arial" w:hAnsi="Arial"/>
          <w:sz w:val="18"/>
          <w:szCs w:val="18"/>
          <w:color w:val="auto"/>
        </w:rPr>
        <w:t xml:space="preserve"> only by the affirmative vote of the holders of 75% or more of the outstanding shares of capital stock then entitled to vote </w:t>
      </w:r>
      <w:r>
        <w:rPr>
          <w:rFonts w:ascii="Arial" w:cs="Arial" w:eastAsia="Arial" w:hAnsi="Arial"/>
          <w:sz w:val="18"/>
          <w:szCs w:val="18"/>
          <w:color w:val="auto"/>
          <w:strike w:val="1"/>
        </w:rPr>
        <w:t>at an election of Directors</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thereon</w:t>
      </w:r>
      <w:r>
        <w:rPr>
          <w:rFonts w:ascii="Arial" w:cs="Arial" w:eastAsia="Arial" w:hAnsi="Arial"/>
          <w:sz w:val="18"/>
          <w:szCs w:val="18"/>
          <w:color w:val="auto"/>
        </w:rPr>
        <w:t>, voting together as a single class. At least forty-five (45) days prior to any annual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Effective Date of Amendment. This amendment shall become effective on the date that the Declassification Amendment is approved by the vote of the holders of not less than 75% of the shares entitled to vote on the amendment.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proposal to amend the Certificate of Incorporation requires an affirmative vote of the holders of not less than 75% of the shares entitled to vote on the amendment.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Recommendation</w:t>
      </w:r>
    </w:p>
    <w:p>
      <w:pPr>
        <w:spacing w:after="0" w:line="33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UNANIMOUSLY RECOMMENDS A VOTE “FOR” THE DECLASSIFICATION AMENDMENT TO THE CERTIFICATE OF INCORPORATION.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2</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 REMOVAL AMENDMENT TO THE CERTIFICATE OF INCORPORATION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Proposal</w:t>
      </w:r>
    </w:p>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Company’s Certificate of Incorporation currently provides for a supermajority voting requirement with respect to the removal of directors. On March 29, 2018, the Board approved, and recommended that the stockholders approve, an amendment (the “Director Removal Amendment”) to the Certificate of Incorporation to eliminate the supermajority voting requirement with respect to removal of directors and replace it with a majority voting standard.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to Article VI of the Certificate of Incorporation</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After careful consideration, the Board has determined that it is advisable and in the best interests of the Company and its stockholders to eliminate the supermajority voting requirement with respect to the removal of directors and replace it with a majority voting standard. The Certificate of Incorporation currently provides that our directors may only be removed for cause by the vote of 75% of the shares then entitled to vote at a meeting of stockholders for the election of directors. This proposal eliminates the 75% requirement and replaces it with a majority voting standard. If the Director Removal Amendment is adopted by the Company’s stockholders, directors will be able to be removed with or without cause.</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change will make it easier for stockholders to remove directors of the Company. This change further coincides with the declassification of our Board to ensure the accountability of directors to stockholders. Moreover, by eliminating the supermajority vote, we ensure that the will of a majority of our stockholders is controlling with respect to director retention. The Board carefully considered the advantages and disadvantages of the current supermajority voting requirement.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the Proposed Amendment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proposed Director Removal Amendment is as follows: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Article VI, Section 5.</w:t>
      </w:r>
    </w:p>
    <w:p>
      <w:pPr>
        <w:spacing w:after="0" w:line="225" w:lineRule="exact"/>
        <w:rPr>
          <w:sz w:val="20"/>
          <w:szCs w:val="20"/>
          <w:color w:val="auto"/>
        </w:rPr>
      </w:pPr>
    </w:p>
    <w:p>
      <w:pPr>
        <w:ind w:left="800" w:right="120" w:firstLine="7"/>
        <w:spacing w:after="0" w:line="293"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w:t>
      </w:r>
      <w:r>
        <w:rPr>
          <w:rFonts w:ascii="Arial" w:cs="Arial" w:eastAsia="Arial" w:hAnsi="Arial"/>
          <w:sz w:val="16"/>
          <w:szCs w:val="16"/>
          <w:color w:val="auto"/>
          <w:strike w:val="1"/>
        </w:rPr>
        <w:t>75% or more</w:t>
      </w:r>
      <w:r>
        <w:rPr>
          <w:rFonts w:ascii="Arial" w:cs="Arial" w:eastAsia="Arial" w:hAnsi="Arial"/>
          <w:sz w:val="16"/>
          <w:szCs w:val="16"/>
          <w:color w:val="auto"/>
        </w:rPr>
        <w:t xml:space="preserve"> </w:t>
      </w:r>
      <w:r>
        <w:rPr>
          <w:rFonts w:ascii="Arial" w:cs="Arial" w:eastAsia="Arial" w:hAnsi="Arial"/>
          <w:sz w:val="16"/>
          <w:szCs w:val="16"/>
          <w:u w:val="single" w:color="auto"/>
          <w:color w:val="auto"/>
        </w:rPr>
        <w:t>a majority</w:t>
      </w:r>
      <w:r>
        <w:rPr>
          <w:rFonts w:ascii="Arial" w:cs="Arial" w:eastAsia="Arial" w:hAnsi="Arial"/>
          <w:sz w:val="16"/>
          <w:szCs w:val="16"/>
          <w:color w:val="auto"/>
        </w:rPr>
        <w:t xml:space="preserve"> of the outstanding shares of capital stock then entitled to vote at an election of Directors, voting together as a single class.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Effective Date of Amendment. This amendment shall become effective on the date that the Director Removal Amendment is approved by the vote of the holders of not less than 75% of shares entitled to vote on the amendment.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proposal to amend the Certificate of Incorporation requires an affirmative vote of the holders of not less than 75% of the shares entitled to vote on the amendment.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Recommendation</w:t>
      </w:r>
    </w:p>
    <w:p>
      <w:pPr>
        <w:spacing w:after="0" w:line="19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UNANIMOUSLY RECOMMENDS A VOTE “FOR” THE DIRECTOR REMOVAL AMENDMENT TO THE CERTIFICATE OF INCORPORATION.</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described in Proposal 1, on March 29, 2018, the Board approved, and recommended that the stockholders approve, an amendment to the Certificate of Incorporation to declassify the Board, effective at the 2018 Annual Meeting. If the Company’s stockholders approve Proposal 1 at the Annual Meeting, the Company’s stockholders will elect seven (7) directors to hold office until the annual meeting of stockholders in 2019, or until their respective successors have been duly elected and qualified. If the Company’s stockholders do not approve Proposal 1, this Proposal 3 will not be submitted to a vote of the stockholders at the Annual Meeting, and instead, Proposal 4 (Election of Class I Directors) will be submitted in its place.</w:t>
      </w:r>
    </w:p>
    <w:p>
      <w:pPr>
        <w:spacing w:after="0" w:line="17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Upon the recommendation of the nominating and corporate governance committee of the Board (the “Nominating and Governance Committee”), the Board has nominated Messrs. Roderick Wong, Carsten Boess, Pedro Granadillo, Gotham Makker, Gaurav Shah, David P. Southwell and Naveen Yalamanchi to serve as directors. Each of the foregoing persons currently serves as a director, and each has indicated a willingness to continue to serve as a 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Directors are elected by a plurality of the votes cast at the Annual Meeting by the holders of shares present in person or represented by proxy and entitled to vote on the election of the directors. The seven nominees receiving the highest number of “For” votes will be elected. Shares represented by executed proxies will be voted, if authority to do so is not withheld, for the election of the seven nominees named above. If any of the nominees become unavailable for election as a result of an unexpected occurrence, your shares will be voted for the election of a substitute nominee proposed by our Board.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Recommendation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EACH OF THE NOMINEES SET FORTH ABOVE.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CLASS I DIRECTORS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Stockholders will be asked to vote on this Proposal 4 solely in the event that, at the Annual Meeting, the Company’s stockholders do not approve the adoption of the amendment to the Certificate of Incorporation to declassify the Board, effective at the 2018 Annual Meeting, as described in Proposal 1. If the Company’s stockholders approve Proposal 1, then the Company will amend its Certificate of Incorporation to eliminate the classified Board and the stockholders will proceed to vote on Proposal 3, and not this Proposal 4. If, however, the stockholders do not approve Proposal 1, a vote will be taken on this Proposal 4.</w:t>
      </w:r>
    </w:p>
    <w:p>
      <w:pPr>
        <w:spacing w:after="0" w:line="2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the stockholders do not approve Proposal 1, the stockholders will elect two Class I directors to hold office until the annual meeting of stockholders in 2021, or until their respective successors have been duly elected and qualified. If the stockholders do not approve Proposal 1, the Board will continue to be divided into three classes serving staggered three-year terms, the term of one class of directors to expire each year. The current term of the Class I directors expires at the Annual Meeting.</w:t>
      </w:r>
    </w:p>
    <w:p>
      <w:pPr>
        <w:spacing w:after="0" w:line="29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Upon the recommendation of the Nominating and Corporate Governance Committee, the Board has nominated Pedro Granadillo and David P. Southwell to serve as Class I directors. Pedro Granadillo and David P. Southwell serve presently as Class I directors, and each has indicated a willingness to continue to serve as a director.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Directors are elected by a plurality of the votes cast at the Annual Meeting by the holders of shares present in person or represented by proxy and entitled to vote on the election of the directors. The two nominees receiving the highest number of “For” votes will be elected. Shares represented by executed proxies will be voted, if authority to do so is not withheld, for the election of the two nominees named above. If any of the nominees become unavailable for election as a result of an unexpected occurrence, your shares will be voted for the election of a substitute nominee proposed by our Board.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EACH OF THE NOMINEES SET FORTH ABOVE.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members of the Board as of the date of this proxy statement, together with certain information about them, are set forth below. As described in the biographical information below, a number of the members of our Board were associated with Private Rocket prior to the Reverse Merger.</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are no arrangements or understanding between any director, or nominee for directorship, pursuant to which such director or nominee was selected as a director or nominee. Additionally, there are no family relationships among our directors, officers, or director-nominees. We know of no reason why any of the nominees may be unable to serve as a director. If any of the nominees are unable to serve, your proxy may vote for another nominee proposed by the Board. If for any reason any of the nominees prove unable or unwilling to stand for election, the Board will nominate alternate(s) or reduce the size of the Board to eliminate the vacancy.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Set forth below are the names, ages as of April 26, 2018, principal occupations, and business experience, as well as their prior service on the Board, of the directors. Unless otherwise indicated, principal occupations shown for each director have extended for five or more years. If the stockholders approve Proposal 1, then stockholders will be voting on the election as directors of all of the individuals below. If the stockholders do not approve Proposal 1, then the stockholders will be voting on the election as directors of Messrs. Granadillo and Southwell as Class I directors.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Age</w:t>
            </w:r>
          </w:p>
        </w:tc>
        <w:tc>
          <w:tcPr>
            <w:tcW w:w="9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5"/>
              </w:rPr>
              <w:t>Class</w:t>
            </w:r>
          </w:p>
        </w:tc>
        <w:tc>
          <w:tcPr>
            <w:tcW w:w="15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Term Expires</w:t>
            </w:r>
          </w:p>
        </w:tc>
        <w:tc>
          <w:tcPr>
            <w:tcW w:w="2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Position(s) Held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Carsten Boess</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5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Pedro Granadillo</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20" w:type="dxa"/>
            <w:vAlign w:val="bottom"/>
          </w:tcPr>
          <w:p>
            <w:pPr>
              <w:spacing w:after="0"/>
              <w:rPr>
                <w:sz w:val="18"/>
                <w:szCs w:val="18"/>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8"/>
                <w:szCs w:val="18"/>
                <w:color w:val="auto"/>
              </w:rPr>
              <w:t>I</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50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Gotham Makker, M.D.</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III</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5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2"/>
        </w:trPr>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Gaurav Shah, M.D.</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89"/>
              </w:rPr>
              <w:t>43</w:t>
            </w:r>
          </w:p>
        </w:tc>
        <w:tc>
          <w:tcPr>
            <w:tcW w:w="520" w:type="dxa"/>
            <w:vAlign w:val="bottom"/>
          </w:tcPr>
          <w:p>
            <w:pPr>
              <w:spacing w:after="0"/>
              <w:rPr>
                <w:sz w:val="17"/>
                <w:szCs w:val="17"/>
                <w:color w:val="auto"/>
              </w:rPr>
            </w:pPr>
          </w:p>
        </w:tc>
        <w:tc>
          <w:tcPr>
            <w:tcW w:w="980" w:type="dxa"/>
            <w:vAlign w:val="bottom"/>
            <w:gridSpan w:val="2"/>
          </w:tcPr>
          <w:p>
            <w:pPr>
              <w:jc w:val="center"/>
              <w:ind w:right="500"/>
              <w:spacing w:after="0" w:line="201" w:lineRule="exact"/>
              <w:rPr>
                <w:sz w:val="20"/>
                <w:szCs w:val="20"/>
                <w:color w:val="auto"/>
              </w:rPr>
            </w:pPr>
            <w:r>
              <w:rPr>
                <w:rFonts w:ascii="Arial" w:cs="Arial" w:eastAsia="Arial" w:hAnsi="Arial"/>
                <w:sz w:val="18"/>
                <w:szCs w:val="18"/>
                <w:color w:val="auto"/>
              </w:rPr>
              <w:t>II</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2019</w:t>
            </w:r>
          </w:p>
        </w:tc>
        <w:tc>
          <w:tcPr>
            <w:tcW w:w="500" w:type="dxa"/>
            <w:vAlign w:val="bottom"/>
          </w:tcPr>
          <w:p>
            <w:pPr>
              <w:spacing w:after="0"/>
              <w:rPr>
                <w:sz w:val="17"/>
                <w:szCs w:val="17"/>
                <w:color w:val="auto"/>
              </w:rPr>
            </w:pPr>
          </w:p>
        </w:tc>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President, Chief Executive</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Officer and Director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Southwell</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5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I</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5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Roderick Wong, M.D.</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520" w:type="dxa"/>
            <w:vAlign w:val="bottom"/>
          </w:tcPr>
          <w:p>
            <w:pPr>
              <w:spacing w:after="0"/>
              <w:rPr>
                <w:sz w:val="18"/>
                <w:szCs w:val="18"/>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8"/>
                <w:szCs w:val="18"/>
                <w:color w:val="auto"/>
              </w:rPr>
              <w:t>II</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50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Naveen Yalamanchi, M.D.</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III</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5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799"/>
        <w:spacing w:after="0" w:line="289" w:lineRule="auto"/>
        <w:rPr>
          <w:sz w:val="20"/>
          <w:szCs w:val="20"/>
          <w:color w:val="auto"/>
        </w:rPr>
      </w:pPr>
      <w:r>
        <w:rPr>
          <w:rFonts w:ascii="Arial" w:cs="Arial" w:eastAsia="Arial" w:hAnsi="Arial"/>
          <w:sz w:val="16"/>
          <w:szCs w:val="16"/>
          <w:b w:val="1"/>
          <w:bCs w:val="1"/>
          <w:i w:val="1"/>
          <w:iCs w:val="1"/>
          <w:color w:val="auto"/>
        </w:rPr>
        <w:t xml:space="preserve">Carsten Boess </w:t>
      </w:r>
      <w:r>
        <w:rPr>
          <w:rFonts w:ascii="Arial" w:cs="Arial" w:eastAsia="Arial" w:hAnsi="Arial"/>
          <w:sz w:val="16"/>
          <w:szCs w:val="16"/>
          <w:color w:val="auto"/>
        </w:rPr>
        <w:t>has served as one of our directors since January 2016. He is currently the Executive Vice President of Corporate Affairs at Kiniksa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Pharmaceuticals, a privately held biotechnology company. He previously served as Senior Vice President and Chief Financial Officer at Synageva Biopharma Corporation from 2011 until the company’s acquisition by Alexion Pharmaceuticals in 2015. Prior to his role at Synageva, Mr. Boess served in multiple roles with increasing responsibility for Insulet Corporation, including Chief Financial Officer from 2006 to 2009 and Vice President of International Operations from 2009 to 2011. Prior to that, Mr. Boess served as Executive Vice President of Finance for Serono Inc. from 2005 to 2006. In addition, he was a member of the Geneva based World Wide Executive Finance Management Team while at Serono. Mr. Boess was also Chief Financial Officer at Alexion Pharmaceuticals and was a finance executive at Novozymes of North America and Novo Nordisk in France, Switzerland and China. Mr. Boess received a Bachelor’s degree and Master’s degree in Economics and Finance, specializing in Accounting and Finance from the University of Odense, Denmark. We believe that Mr. Boess’ qualifications to sit on our Board include his business and financial experience working at pharmaceutical companies.</w:t>
      </w:r>
    </w:p>
    <w:p>
      <w:pPr>
        <w:spacing w:after="0" w:line="167"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b w:val="1"/>
          <w:bCs w:val="1"/>
          <w:i w:val="1"/>
          <w:iCs w:val="1"/>
          <w:color w:val="auto"/>
        </w:rPr>
        <w:t xml:space="preserve">Pedro Granadillo </w:t>
      </w:r>
      <w:r>
        <w:rPr>
          <w:rFonts w:ascii="Arial" w:cs="Arial" w:eastAsia="Arial" w:hAnsi="Arial"/>
          <w:sz w:val="18"/>
          <w:szCs w:val="18"/>
          <w:color w:val="auto"/>
        </w:rPr>
        <w:t>has served as one of our directors since January 2018, when he joined the Board in connection with the Reverse Merger.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40 years of biopharmaceutical industry experience with expertise in human resources, manufacturing, quality and corporate governance. From 1970 until his retirement in 2004, Mr. Granadillo held multiple leadership roles at Eli Lilly and Company, including Senior Vice President of Global Manufacturing and Human Resources and a member of the Executive Committee. He currently serves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the Board of Directors of Haemonetics Corporation, a position he has held since 2004. Mr. Granadillo has previously served on the Boards of Directors at Dendreon Corporation and Noven Pharmaceuticals, as well as NPS Pharmaceuticals, which sold to Shire for $5.2 billion in 2015. He graduated from Purdue University with a Bachelor of Science in Industrial Engineering. We believe that Mr. Granadillo’s qualifications to sit on our Board include his depth of knowledge of the pharmaceutical industry and his many years of experience serving on the boards of directors of healthcare companies.</w:t>
      </w:r>
    </w:p>
    <w:p>
      <w:pPr>
        <w:spacing w:after="0" w:line="154"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b w:val="1"/>
          <w:bCs w:val="1"/>
          <w:i w:val="1"/>
          <w:iCs w:val="1"/>
          <w:color w:val="auto"/>
        </w:rPr>
        <w:t xml:space="preserve">Gotham Makker, MD </w:t>
      </w:r>
      <w:r>
        <w:rPr>
          <w:rFonts w:ascii="Arial" w:cs="Arial" w:eastAsia="Arial" w:hAnsi="Arial"/>
          <w:sz w:val="17"/>
          <w:szCs w:val="17"/>
          <w:color w:val="auto"/>
        </w:rPr>
        <w:t>has served as one of our directors since January 2018, when he joined the Board in connection with the Reverse Merger.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Makker has over 17 years of healthcare industry experience. Since 2005, he has served as CEO of Simran Investment Group, LLC, a closely held equity investment fund. Prior to Simran, Dr. Makker was a healthcare portfolio manager and principal at Citadel Investment Group LLC, a position he held from 2002 to 2005. Prior to joining Citadel, Dr. Makker served as an analyst at Oracle Partners LP covering biotechnology and medical device sectors from 2000 to 2001. From 1999 to 2000, Dr. Makker was a senior analyst on the life sciences investment banking team at Hambrecht &amp; Quist. Dr. Makker received an MD from the University of Nebraska Medical School, and he completed the Sarnoff cardiovascular research fellowship at Columbia University, College of Physicians &amp; Surgeons and at Harvard Medical School, Brigham &amp; Women’s Hospital. We believe that Dr. Makker’s qualifications to sit on our Board include his years of experience in, and extensive knowledge of, the healthcare industry.</w:t>
      </w:r>
    </w:p>
    <w:p>
      <w:pPr>
        <w:spacing w:after="0" w:line="179"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b w:val="1"/>
          <w:bCs w:val="1"/>
          <w:i w:val="1"/>
          <w:iCs w:val="1"/>
          <w:color w:val="auto"/>
        </w:rPr>
        <w:t xml:space="preserve">Gaurav Shah, MD </w:t>
      </w:r>
      <w:r>
        <w:rPr>
          <w:rFonts w:ascii="Arial" w:cs="Arial" w:eastAsia="Arial" w:hAnsi="Arial"/>
          <w:sz w:val="17"/>
          <w:szCs w:val="17"/>
          <w:color w:val="auto"/>
        </w:rPr>
        <w:t>has served as our President and Chief Executive Officer and as one of our directors since January 2018, when he joined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in connection with the Reverse Merger. Dr. Shah was appointed Chief Executive Officer of Private Rocket in September 2015. Prior to joining Private Rocket, from 2011-2015, Dr. Shah held various leadership positions at Novartis including Global Program Head for CART-19, Global Clinical Program Head for CTL-019 and Biosimilars, and Global Clinical Leader for Afinitor. Prior to Novartis, he spent three years at Eli Lilly and Company as Medical Director overseeing clinical development of numerous programs including olaratumab. During his industry tenure, he has participated in several drug development programs resulting in successful regulatory approvals, such as CTL-019 in pediatric ALL, the first cell and gene therapy approved in the U.S., and successful commercial launches. Prior to joining industry, Dr. Shah was Assistant Professor of Medicine/Oncology at Columbia University. He holds a B.A. in Behavioral Neuroscience from Harvard University and an MD from Columbia University. Dr. Shah completed his internal medicine residency at Brigham and Women’s Hospital/Harvard Medical School and completed his hematology/oncology fellowship training at the Memorial-Sloan Kettering Cancer Center. We believe Dr. Shah is qualified to sit on our Board due to his role as Chief Executive Officer of the Company and his significant leadership and management experience in the biopharmaceutical industry.</w:t>
      </w:r>
    </w:p>
    <w:p>
      <w:pPr>
        <w:spacing w:after="0" w:line="183"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b w:val="1"/>
          <w:bCs w:val="1"/>
          <w:i w:val="1"/>
          <w:iCs w:val="1"/>
          <w:color w:val="auto"/>
        </w:rPr>
        <w:t xml:space="preserve">David P. Southwell </w:t>
      </w:r>
      <w:r>
        <w:rPr>
          <w:rFonts w:ascii="Arial" w:cs="Arial" w:eastAsia="Arial" w:hAnsi="Arial"/>
          <w:sz w:val="16"/>
          <w:szCs w:val="16"/>
          <w:color w:val="auto"/>
        </w:rPr>
        <w:t>has served as one of our directors since August 2014. He served as our President and Chief Executive Officer from July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January 2018. From March 2010 to October 2012, Mr. Southwell served as Executive Vice President, Chief Financial Officer of Human Genome Sciences, Inc., or Human Genome Sciences, which is owned by GlaxoSmithKline plc. Prior to his time at Human Genome Sciences, Mr. Southwell served as Executive Vice President and Chief Financial Officer of Sepracor Inc. from July 1994 to July 2008. Mr. Southwell has also served on the Board of Directors of PTC Therapeutics Inc. since December 2005 and Spero Therapeutics, Inc. since February 2018. Mr. Southwell received a B.A. from Rice University and an M.B.A. from Dartmouth College. We believe that Mr. Southwell’s qualifications to sit on our Board include his broad experience serving on the boards of directors of public companies, his specific experience with public therapeutics companies and his executive leadership, managerial and business experience.</w:t>
      </w:r>
    </w:p>
    <w:p>
      <w:pPr>
        <w:spacing w:after="0" w:line="167" w:lineRule="exact"/>
        <w:rPr>
          <w:sz w:val="20"/>
          <w:szCs w:val="20"/>
          <w:color w:val="auto"/>
        </w:rPr>
      </w:pPr>
    </w:p>
    <w:p>
      <w:pPr>
        <w:ind w:right="140" w:firstLine="799"/>
        <w:spacing w:after="0" w:line="279" w:lineRule="auto"/>
        <w:rPr>
          <w:sz w:val="20"/>
          <w:szCs w:val="20"/>
          <w:color w:val="auto"/>
        </w:rPr>
      </w:pPr>
      <w:r>
        <w:rPr>
          <w:rFonts w:ascii="Arial" w:cs="Arial" w:eastAsia="Arial" w:hAnsi="Arial"/>
          <w:sz w:val="17"/>
          <w:szCs w:val="17"/>
          <w:b w:val="1"/>
          <w:bCs w:val="1"/>
          <w:i w:val="1"/>
          <w:iCs w:val="1"/>
          <w:color w:val="auto"/>
        </w:rPr>
        <w:t xml:space="preserve">Roderick Wong, MD </w:t>
      </w:r>
      <w:r>
        <w:rPr>
          <w:rFonts w:ascii="Arial" w:cs="Arial" w:eastAsia="Arial" w:hAnsi="Arial"/>
          <w:sz w:val="17"/>
          <w:szCs w:val="17"/>
          <w:color w:val="auto"/>
        </w:rPr>
        <w:t>has served as Chairman of our Board since January 2018, when he joined the Board in connection with the Reverse Merger.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Wong served as the Chairman of the Board for Private Rocket from July 2015 until January 2018. Dr. Wong has over 15 years of healthcare investment experience. Since 2010, he has served as Managing Partner and Chief Investment Officer of RTW Investments, LP (“RTW”), a healthcare-centered investment firm. Prior to RTW, Dr. Wong was a Managing Director and the Portfolio Manager for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Davidson Kempner Healthcare Funds. Prior to joining Davidson Kempner, Dr. Wong held various healthcare investment and healthcare research roles at SAC Capital Company and Cowen &amp; Company. Dr. Wong served on the Board of Directors of Penwest Pharmaceuticals in 2010. He received an MD from the University of Pennsylvania Medical School, received an MBA from Harvard Business School, and graduated with a BS in Economics from Duke University. We believe that Dr. Wong is qualified to sit on our Board due to his service prior to the closing of the Reverse Merger as Chairman of the Board of Directors of Private Rocket and his years of experience in, and extensive knowledge of, the biopharmaceutical industry.</w:t>
      </w:r>
    </w:p>
    <w:p>
      <w:pPr>
        <w:spacing w:after="0" w:line="173" w:lineRule="exact"/>
        <w:rPr>
          <w:sz w:val="20"/>
          <w:szCs w:val="20"/>
          <w:color w:val="auto"/>
        </w:rPr>
      </w:pPr>
    </w:p>
    <w:p>
      <w:pPr>
        <w:ind w:right="40" w:firstLine="799"/>
        <w:spacing w:after="0" w:line="288" w:lineRule="auto"/>
        <w:rPr>
          <w:sz w:val="20"/>
          <w:szCs w:val="20"/>
          <w:color w:val="auto"/>
        </w:rPr>
      </w:pPr>
      <w:r>
        <w:rPr>
          <w:rFonts w:ascii="Arial" w:cs="Arial" w:eastAsia="Arial" w:hAnsi="Arial"/>
          <w:sz w:val="16"/>
          <w:szCs w:val="16"/>
          <w:b w:val="1"/>
          <w:bCs w:val="1"/>
          <w:i w:val="1"/>
          <w:iCs w:val="1"/>
          <w:color w:val="auto"/>
        </w:rPr>
        <w:t xml:space="preserve">Naveen Yalamanchi, MD </w:t>
      </w:r>
      <w:r>
        <w:rPr>
          <w:rFonts w:ascii="Arial" w:cs="Arial" w:eastAsia="Arial" w:hAnsi="Arial"/>
          <w:sz w:val="16"/>
          <w:szCs w:val="16"/>
          <w:color w:val="auto"/>
        </w:rPr>
        <w:t>has served as one of our directors since January 2018, when he joined the Board in connection with the Reverse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Yalamanchi joined Private Rocket as a Director in July 2015. Dr. Yalamanchi has over 15 years of healthcare investment and research experience. Since 2015, Dr. Yalamanchi has served as Partner and Portfolio Manager at RTW Investments, LP, a healthcare-centered investment firm. Prior to RTW,</w:t>
      </w:r>
    </w:p>
    <w:p>
      <w:pPr>
        <w:spacing w:after="0" w:line="270" w:lineRule="auto"/>
        <w:rPr>
          <w:sz w:val="20"/>
          <w:szCs w:val="20"/>
          <w:color w:val="auto"/>
        </w:rPr>
      </w:pPr>
      <w:r>
        <w:rPr>
          <w:rFonts w:ascii="Arial" w:cs="Arial" w:eastAsia="Arial" w:hAnsi="Arial"/>
          <w:sz w:val="17"/>
          <w:szCs w:val="17"/>
          <w:color w:val="auto"/>
        </w:rPr>
        <w:t>Dr. Yalamanchi was Vice-President and co-portfolio manager at Calamos Arista Partners, a subsidiary of Calamos Investments, a position he held from 2012 to 2015. Prior to joining Calamos Arista Partners, Dr. Yalamanchi held various healthcare investment roles at Millennium Management and Davidson Kempner Capital Management. Dr. Yalamanchi holds a BS in Biology from MIT and an MD from Stanford University. He completed his surgery internship at UCLA Medical Center. Dr. Yalamanchi currently serves as an observer of the Board of Directors of Dermtech, Inc., a privately held diagnostic company. We believe that Dr. Yalamanchi is qualified to sit on our Board due to his service prior to the closing of the Reverse Merger as a member of the Board of Directors of Private Rocket and his years of experience in, and extensive knowledge of, the healthcare industry.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executive officers and sets forth their current position(s) and their ages as of April 26,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Age</w:t>
            </w:r>
          </w:p>
        </w:tc>
        <w:tc>
          <w:tcPr>
            <w:tcW w:w="5020" w:type="dxa"/>
            <w:vAlign w:val="bottom"/>
          </w:tcPr>
          <w:p>
            <w:pPr>
              <w:spacing w:after="0"/>
              <w:rPr>
                <w:sz w:val="20"/>
                <w:szCs w:val="20"/>
                <w:color w:val="auto"/>
              </w:rPr>
            </w:pPr>
            <w:r>
              <w:rPr>
                <w:rFonts w:ascii="Arial" w:cs="Arial" w:eastAsia="Arial" w:hAnsi="Arial"/>
                <w:sz w:val="14"/>
                <w:szCs w:val="14"/>
                <w:b w:val="1"/>
                <w:bCs w:val="1"/>
                <w:color w:val="auto"/>
              </w:rPr>
              <w:t>Position(s) Held</w:t>
            </w: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Gaurav Shah, M.D.</w:t>
            </w:r>
          </w:p>
        </w:tc>
        <w:tc>
          <w:tcPr>
            <w:tcW w:w="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2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Jonathan Schwartz, M.D.</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Militello</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32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Controller</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Kinnari Patel, PharmD</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3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Operating Officer and Head of Development</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refer to “Directors Continuing in Office” above for information about our President and Chief Executive Officer, Gaurav Shah, M.D. Biographical information for our other executive officers, as of April 26, 2018, is set forth below.</w:t>
      </w:r>
    </w:p>
    <w:p>
      <w:pPr>
        <w:spacing w:after="0" w:line="170"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b w:val="1"/>
          <w:bCs w:val="1"/>
          <w:i w:val="1"/>
          <w:iCs w:val="1"/>
          <w:color w:val="auto"/>
        </w:rPr>
        <w:t xml:space="preserve">Jonathan Schwartz, MD </w:t>
      </w:r>
      <w:r>
        <w:rPr>
          <w:rFonts w:ascii="Arial" w:cs="Arial" w:eastAsia="Arial" w:hAnsi="Arial"/>
          <w:sz w:val="17"/>
          <w:szCs w:val="17"/>
          <w:color w:val="auto"/>
        </w:rPr>
        <w:t>joined us as Chief Medical Officer in January 2018 in connection with the Reverse Merger. Dr. Schwartz joined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Rocket in January 2016 and served as Chief Medical Officer and Head of Clinical Development. Dr. Schwartz is responsible for leading our medical and program development. Dr. Schwartz has over 20 years of combined clinical practice and drug development experience. Prior to Private Rocket, Dr. Schwartz was Vice-President of Clinical Development at Stemline Therapeutics, where he oversaw development efforts for anticancer, vaccine and small-molecule platforms, a position he held since 2014. Prior to Stemline, he spent seven years at Eli Lilly and Company in several leadership positions, including Vice-President of Clinical Science, where he led development teams for numerous drug programs including ramucirumab. Previously, Dr. Schwartz was Associate Professor of Medicine at the Mount Sinai Medical Center in New York, specializing in the treatment and translational research of hepatobiliary malignancies and also served as Director for the Hematology-Oncology Fellowship training program. He has a BA in American Civilization from Brown University and an MD from Washington University (St. Louis). He completed post-graduate Internal Medicine and Hematology-Oncology training at the Mount Sinai and New York Presbyterian Hospitals.</w:t>
      </w:r>
    </w:p>
    <w:p>
      <w:pPr>
        <w:spacing w:after="0" w:line="178" w:lineRule="exact"/>
        <w:rPr>
          <w:sz w:val="20"/>
          <w:szCs w:val="20"/>
          <w:color w:val="auto"/>
        </w:rPr>
      </w:pPr>
    </w:p>
    <w:p>
      <w:pPr>
        <w:ind w:right="280" w:firstLine="799"/>
        <w:spacing w:after="0" w:line="277" w:lineRule="auto"/>
        <w:rPr>
          <w:sz w:val="20"/>
          <w:szCs w:val="20"/>
          <w:color w:val="auto"/>
        </w:rPr>
      </w:pPr>
      <w:r>
        <w:rPr>
          <w:rFonts w:ascii="Arial" w:cs="Arial" w:eastAsia="Arial" w:hAnsi="Arial"/>
          <w:sz w:val="18"/>
          <w:szCs w:val="18"/>
          <w:b w:val="1"/>
          <w:bCs w:val="1"/>
          <w:i w:val="1"/>
          <w:iCs w:val="1"/>
          <w:color w:val="auto"/>
        </w:rPr>
        <w:t xml:space="preserve">John Militello </w:t>
      </w:r>
      <w:r>
        <w:rPr>
          <w:rFonts w:ascii="Arial" w:cs="Arial" w:eastAsia="Arial" w:hAnsi="Arial"/>
          <w:sz w:val="18"/>
          <w:szCs w:val="18"/>
          <w:color w:val="auto"/>
        </w:rPr>
        <w:t>joined us as Controller in January 2018. From April 2015 to November 2017, Mr. Militello worked at Immune Pharmaceuticals,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 publicly traded biotechnology company, where he most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recently served as Vice President of Finance (principal financial officer), Controller and Chief Accounting Officer. Prior to that, Mr. Militello was an Assistant Controller with Retrophin, Inc., a San Diego based biotech company, and the Manager, External Reporting &amp; Compliance at Volt Information Sciences, Inc., a publicly traded staffing company. Prior to Volt Information Sciences, Inc., Mr. Militello was a Senior Manager with BDO USA, LLP serving multi-national SEC registrants. Mr. Militello is a Certified Public Accountant and earned his Bachelor of Science degree in Accounting from St. Joseph’s College.</w:t>
      </w:r>
    </w:p>
    <w:p>
      <w:pPr>
        <w:spacing w:after="0" w:line="188" w:lineRule="exact"/>
        <w:rPr>
          <w:sz w:val="20"/>
          <w:szCs w:val="20"/>
          <w:color w:val="auto"/>
        </w:rPr>
      </w:pPr>
    </w:p>
    <w:p>
      <w:pPr>
        <w:ind w:right="20" w:firstLine="799"/>
        <w:spacing w:after="0" w:line="271" w:lineRule="auto"/>
        <w:rPr>
          <w:sz w:val="20"/>
          <w:szCs w:val="20"/>
          <w:color w:val="auto"/>
        </w:rPr>
      </w:pPr>
      <w:r>
        <w:rPr>
          <w:rFonts w:ascii="Arial" w:cs="Arial" w:eastAsia="Arial" w:hAnsi="Arial"/>
          <w:sz w:val="17"/>
          <w:szCs w:val="17"/>
          <w:b w:val="1"/>
          <w:bCs w:val="1"/>
          <w:i w:val="1"/>
          <w:iCs w:val="1"/>
          <w:color w:val="auto"/>
        </w:rPr>
        <w:t xml:space="preserve">Kinnari Patel, PharmD </w:t>
      </w:r>
      <w:r>
        <w:rPr>
          <w:rFonts w:ascii="Arial" w:cs="Arial" w:eastAsia="Arial" w:hAnsi="Arial"/>
          <w:sz w:val="17"/>
          <w:szCs w:val="17"/>
          <w:color w:val="auto"/>
        </w:rPr>
        <w:t>joined us as Chief Operating Officer and Head of Development in January 2018 in connection with the Reverse Merger.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Patel joined Private Rocket in April 2016, serving as Vice President – Head of Regulatory, Pharmacoviligence and Quality from April 2016 to July 2017 and as Senior Vice President, Global Program Head and Head of Regulatory and Quality from August 2017 to December 2017. Prior to joining Private Rocket, Dr. Patel was the Global Regulatory Lead at AstraZeneca from January 2015 to April 2016. Prior to that, Dr. Patel was Head of U.S. Risk Management at Bristol-Meyers Squibb from May 2014 through January 2015 and the U.S. Liaison for Global Regulatory Sciences at Bristol-Meyers Squibb from November 2010 to April 2014. Dr. Patel received the dual degrees of B.S. in Biology and Doctorate of Pharmacy from the USciences in Philadelphia, PA. She also completed a two-year Post-Doctoral Regulatory Affairs Fellowship through Rutgers University. Most recently, she received her Executive MBA from NYU Stern School of Business with specialization in Corporate Finance, Leadership and Strategy.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Board and 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Board oversees our business and monitors the performance of our management. In accordance with our corporate governance procedures, the Board does not involve itself in the day-to-day operations of the Company. Our executive officers and management oversee the day-to-day operations. Our directors fulfill their duties and responsibilities by attending meetings of the Board, which are held from time to time.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held seven meetings during the year ended December 31, 2017. During the year ended December 31, 2017, each director then in office attended at least 75% of the total of (i) the meetings of the Board held during the period for which he or she has been a director and (ii) the meetings of the committee(s) on which that director served during such period. Each of our directors then in office attended our 2017 annual meeting of stockholders. It is our policy to encourage our directors to attend the Annual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Independence</w:t>
      </w:r>
    </w:p>
    <w:p>
      <w:pPr>
        <w:spacing w:after="0" w:line="11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Under the listing requirements and rules of the Nasdaq Global Market (“Nasdaq”), independent directors must compose a majority of a listed company’s board of directors. In addition, applicable Nasdaq rules require that, subject to specified exceptions, each member of a listed company’s audit, compensation and nominating committees must be independent within the meaning of applicable Nasdaq rules. Audit committee members must also satisfy the independence criteria set forth in Rule 10A-3 under the Exchange Act. Our Board has undertaken a review of the independence of each director and considered whether any director has a material relationship with us that could compromise his or her ability to exercise independent judgment in carrying out his or her responsibilities. In making this determination,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As a result of this review, our Board determined that each of Mr. Boess, Mr. Granadillo, Dr. Makker and Dr. Yalamanchi qualify as “independent” directors within the meaning of the Nasdaq rules. Our Board also determined that our former directors,</w:t>
      </w:r>
    </w:p>
    <w:p>
      <w:pPr>
        <w:spacing w:after="0" w:line="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Barberich, Mr. Howes, Mr. Machado, Dr. Phillips and Dr. Spivey, satisfied the independence requirements, as determined in accordance with the rules of Nasdaq. As required under applicable Nasdaq rules, our independent directors meet in regularly scheduled executive sessions at which only independent directors are present. Dr. Wong is the current chairperson of our Board and is not considered an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independent director. Consistent with Nasdaq listing requirements, the independent directors regularly have the opportunity to meet in executive sessions without Dr. Wong, Dr. Shah and Mr. Southwell in attendance. The purpose of these executive sessions is to promote open and candid discussion among the independent directors. We do not have a lead independent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Board has three committees: an audit committee (the “Audit Committee”), a compensation committee (the “Compensation Committee”), and the Nominating and Corporate Governance Committee. During the year ended December 31, 2017, the Audit Committee held six meetings, the Compensation Committee held two meetings, and the Nominating and Corporate Governance Committee held one meeting. Continuing directors and our nominees for election as director are required to attend the annual meeting of stockholders, barring significant commitments or special circumstances, and are also required to participate in our committee meetings. The following table provides membership information for each committee: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38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Audit</w:t>
            </w:r>
          </w:p>
        </w:tc>
        <w:tc>
          <w:tcPr>
            <w:tcW w:w="27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Nominating and Corporate</w:t>
            </w:r>
          </w:p>
        </w:tc>
        <w:tc>
          <w:tcPr>
            <w:tcW w:w="15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438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Governance</w:t>
            </w:r>
          </w:p>
        </w:tc>
        <w:tc>
          <w:tcPr>
            <w:tcW w:w="1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Carsten Boess**</w:t>
            </w:r>
          </w:p>
        </w:tc>
        <w:tc>
          <w:tcPr>
            <w:tcW w:w="10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X*</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c>
          <w:tcPr>
            <w:tcW w:w="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Pedro Granadillo</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X</w:t>
            </w:r>
          </w:p>
        </w:tc>
        <w:tc>
          <w:tcPr>
            <w:tcW w:w="500" w:type="dxa"/>
            <w:vAlign w:val="bottom"/>
          </w:tcPr>
          <w:p>
            <w:pPr>
              <w:spacing w:after="0"/>
              <w:rPr>
                <w:sz w:val="18"/>
                <w:szCs w:val="18"/>
                <w:color w:val="auto"/>
              </w:rPr>
            </w:pPr>
          </w:p>
        </w:tc>
        <w:tc>
          <w:tcPr>
            <w:tcW w:w="2240" w:type="dxa"/>
            <w:vAlign w:val="bottom"/>
            <w:gridSpan w:val="2"/>
          </w:tcPr>
          <w:p>
            <w:pPr>
              <w:jc w:val="right"/>
              <w:ind w:right="580"/>
              <w:spacing w:after="0"/>
              <w:rPr>
                <w:sz w:val="20"/>
                <w:szCs w:val="20"/>
                <w:color w:val="auto"/>
              </w:rPr>
            </w:pPr>
            <w:r>
              <w:rPr>
                <w:rFonts w:ascii="Arial" w:cs="Arial" w:eastAsia="Arial" w:hAnsi="Arial"/>
                <w:sz w:val="18"/>
                <w:szCs w:val="18"/>
                <w:color w:val="auto"/>
              </w:rPr>
              <w:t>X</w:t>
            </w:r>
          </w:p>
        </w:tc>
        <w:tc>
          <w:tcPr>
            <w:tcW w:w="5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Gotham Makker</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X</w:t>
            </w:r>
          </w:p>
        </w:tc>
        <w:tc>
          <w:tcPr>
            <w:tcW w:w="5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X</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Naveen Yalamanchi</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40" w:type="dxa"/>
            <w:vAlign w:val="bottom"/>
            <w:gridSpan w:val="2"/>
          </w:tcPr>
          <w:p>
            <w:pPr>
              <w:jc w:val="right"/>
              <w:ind w:right="480"/>
              <w:spacing w:after="0"/>
              <w:rPr>
                <w:sz w:val="20"/>
                <w:szCs w:val="20"/>
                <w:color w:val="auto"/>
              </w:rPr>
            </w:pPr>
            <w:r>
              <w:rPr>
                <w:rFonts w:ascii="Arial" w:cs="Arial" w:eastAsia="Arial" w:hAnsi="Arial"/>
                <w:sz w:val="18"/>
                <w:szCs w:val="18"/>
                <w:color w:val="auto"/>
              </w:rPr>
              <w:t>X*</w:t>
            </w:r>
          </w:p>
        </w:tc>
        <w:tc>
          <w:tcPr>
            <w:tcW w:w="5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1"/>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gridSpan w:val="3"/>
          </w:tcPr>
          <w:p>
            <w:pPr>
              <w:ind w:left="140"/>
              <w:spacing w:after="0"/>
              <w:rPr>
                <w:sz w:val="20"/>
                <w:szCs w:val="20"/>
                <w:color w:val="auto"/>
              </w:rPr>
            </w:pPr>
            <w:r>
              <w:rPr>
                <w:rFonts w:ascii="Arial" w:cs="Arial" w:eastAsia="Arial" w:hAnsi="Arial"/>
                <w:sz w:val="18"/>
                <w:szCs w:val="18"/>
                <w:color w:val="auto"/>
              </w:rPr>
              <w:t>Committee Chairperson</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gridSpan w:val="3"/>
          </w:tcPr>
          <w:p>
            <w:pPr>
              <w:ind w:left="140"/>
              <w:spacing w:after="0"/>
              <w:rPr>
                <w:sz w:val="20"/>
                <w:szCs w:val="20"/>
                <w:color w:val="auto"/>
              </w:rPr>
            </w:pPr>
            <w:r>
              <w:rPr>
                <w:rFonts w:ascii="Arial" w:cs="Arial" w:eastAsia="Arial" w:hAnsi="Arial"/>
                <w:sz w:val="18"/>
                <w:szCs w:val="18"/>
                <w:color w:val="auto"/>
              </w:rPr>
              <w:t>Financial Expert</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members of the Audit Committee are Mr. Carsten Boess, Mr. Pedro Granadillo and Dr. Gotham Makker. Mr. Boess serves as chair of the Audit Committee. The Audit Committee operates under a written charter that satisfies the applicable standards of the SEC and Nasdaq and which is available on our website at </w:t>
      </w:r>
      <w:r>
        <w:rPr>
          <w:rFonts w:ascii="Arial" w:cs="Arial" w:eastAsia="Arial" w:hAnsi="Arial"/>
          <w:sz w:val="18"/>
          <w:szCs w:val="18"/>
          <w:i w:val="1"/>
          <w:iCs w:val="1"/>
          <w:color w:val="auto"/>
        </w:rPr>
        <w:t>www.rocketpharma.com/corporate-governance/</w:t>
      </w:r>
      <w:r>
        <w:rPr>
          <w:rFonts w:ascii="Arial" w:cs="Arial" w:eastAsia="Arial" w:hAnsi="Arial"/>
          <w:sz w:val="18"/>
          <w:szCs w:val="18"/>
          <w:color w:val="auto"/>
        </w:rPr>
        <w:t>. The inclusion of our website address here and elsewhere in this proxy statement does not include or incorporate by reference the information on our website into this proxy statement.</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Board has determined that Mr. Boess, Mr. Granadillo and Dr. Makker are independent as independence is currently defined in Rule 5605 of the Nasdaq listing standards and Rule 10A-3 under the Exchange Act. In addition, our Board has determined that each member of the Audit Committee is financially literate and that Mr. Boess qualifies as an “audit committee financial expert” as defined in applicable SEC rules. In making this determination, our Board has considered the formal education and nature and scope of their previous experience, coupled with past and present service on various audit committees. The responsibilities of our Audit Committee include, among other things:</w:t>
      </w:r>
    </w:p>
    <w:p>
      <w:pPr>
        <w:spacing w:after="0" w:line="94" w:lineRule="exact"/>
        <w:rPr>
          <w:sz w:val="20"/>
          <w:szCs w:val="20"/>
          <w:color w:val="auto"/>
        </w:rPr>
      </w:pPr>
    </w:p>
    <w:p>
      <w:pPr>
        <w:ind w:left="1020" w:hanging="445"/>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appointing, determining the compensation of, and assessing the independence of our independent registered public accounting firm;</w:t>
      </w:r>
    </w:p>
    <w:p>
      <w:pPr>
        <w:spacing w:after="0" w:line="142" w:lineRule="exact"/>
        <w:rPr>
          <w:rFonts w:ascii="Arial" w:cs="Arial" w:eastAsia="Arial" w:hAnsi="Arial"/>
          <w:sz w:val="17"/>
          <w:szCs w:val="17"/>
          <w:color w:val="auto"/>
        </w:rPr>
      </w:pPr>
    </w:p>
    <w:p>
      <w:pPr>
        <w:ind w:left="1020" w:right="140" w:hanging="445"/>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major issues as to the adequacy of our internal control over financial reporting;</w:t>
      </w:r>
    </w:p>
    <w:p>
      <w:pPr>
        <w:spacing w:after="0" w:line="130" w:lineRule="exact"/>
        <w:rPr>
          <w:rFonts w:ascii="Arial" w:cs="Arial" w:eastAsia="Arial" w:hAnsi="Arial"/>
          <w:sz w:val="18"/>
          <w:szCs w:val="18"/>
          <w:color w:val="auto"/>
        </w:rPr>
      </w:pPr>
    </w:p>
    <w:p>
      <w:pPr>
        <w:ind w:left="1020" w:right="40" w:hanging="445"/>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regarding ethics-related issues or potential violations of our code of business conduct and ethics and accounting and auditing-related complaints and concerns;</w:t>
      </w:r>
    </w:p>
    <w:p>
      <w:pPr>
        <w:spacing w:after="0" w:line="75"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75"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regularly report to and review with the Board any issues that arise with respect to the integrity of our financial statements and our compliance with legal and regulatory requirements;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discussing quarterly earnings releases.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r>
        <w:rPr>
          <w:rFonts w:ascii="Arial" w:cs="Arial" w:eastAsia="Arial" w:hAnsi="Arial"/>
          <w:sz w:val="15"/>
          <w:szCs w:val="15"/>
          <w:b w:val="1"/>
          <w:bCs w:val="1"/>
          <w:color w:val="auto"/>
        </w:rPr>
        <w:t>(1)</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has reviewed and discussed the audited financial statements for the fiscal year ended December 31, 2017, with management and our former independent registered public accounting firm, RSM US LLP. The Audit Committee has discussed with RSM US LLP the matters required by the applicable standards of the Public Company Accounting Oversight Board (“PCAOB”). The Audit Committee has also received the written disclosures and the letter from RSM US LLP required by applicable requirements of the PCAOB regarding RSM US LLP’s communication with the Audit Committee concerning independence, and has discussed with RSM US LLP the firm’s independence. Based on the foregoing, the Audit Committee recommended to the Board that the audited financial statements be included in our Annual Report on Form 10-K for the fiscal year ended December 31, 2017, for filing with the SEC.</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Rocket Pharmaceuticals,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Audit Committee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Carsten Boess, Chairperson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Pedro Granadillo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Gotham Makker</w:t>
      </w:r>
    </w:p>
    <w:p>
      <w:pPr>
        <w:spacing w:after="0" w:line="238" w:lineRule="exact"/>
        <w:rPr>
          <w:sz w:val="20"/>
          <w:szCs w:val="20"/>
          <w:color w:val="auto"/>
        </w:rPr>
      </w:pPr>
    </w:p>
    <w:p>
      <w:pPr>
        <w:jc w:val="both"/>
        <w:ind w:left="460" w:right="24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 any filing we make under either the Securities Act of 1933, as amended, whether made before or after the date hereof and irrespective of any general incorporation language in any such filing.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members of our Nominating and Corporate Governance Committee are Mr. Pedro Granadillo, Dr. Gotham Makker and Dr. Naveen Yalamanchi. Dr. Yalamanchi serves as chairperson of the Nominating and Corporate Governance Committee. Our Board has determined that all members of our Nominating and Corporate Governance Committee are independent as independence is currently defined in Section 5605 of the Nasdaq listing standards. The Nominating and Corporate Governance Committee operates under a written charter that satisfies the applicable standards of Nasdaq and which is available on our website at </w:t>
      </w:r>
      <w:r>
        <w:rPr>
          <w:rFonts w:ascii="Arial" w:cs="Arial" w:eastAsia="Arial" w:hAnsi="Arial"/>
          <w:sz w:val="17"/>
          <w:szCs w:val="17"/>
          <w:i w:val="1"/>
          <w:iCs w:val="1"/>
          <w:color w:val="auto"/>
        </w:rPr>
        <w:t>www.rocketpharma.com/corporate-governance/</w:t>
      </w:r>
      <w:r>
        <w:rPr>
          <w:rFonts w:ascii="Arial" w:cs="Arial" w:eastAsia="Arial" w:hAnsi="Arial"/>
          <w:sz w:val="17"/>
          <w:szCs w:val="17"/>
          <w:color w:val="auto"/>
        </w:rPr>
        <w:t>. The inclusion of our website address here and elsewhere in this proxy statement does not include or incorporate by reference the information on our website into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our Nominating and Corporate Governance Committee include, among other things:</w:t>
      </w:r>
    </w:p>
    <w:p>
      <w:pPr>
        <w:spacing w:after="0" w:line="131" w:lineRule="exact"/>
        <w:rPr>
          <w:sz w:val="20"/>
          <w:szCs w:val="20"/>
          <w:color w:val="auto"/>
        </w:rPr>
      </w:pPr>
    </w:p>
    <w:p>
      <w:pPr>
        <w:ind w:left="1020" w:hanging="44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to the Board criteria for Board and committee membership;</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a policy and procedures for identifying and evaluating Board candidates, including nominees recommended by stockholders;</w:t>
      </w:r>
    </w:p>
    <w:p>
      <w:pPr>
        <w:spacing w:after="0" w:line="142" w:lineRule="exact"/>
        <w:rPr>
          <w:rFonts w:ascii="Arial" w:cs="Arial" w:eastAsia="Arial" w:hAnsi="Arial"/>
          <w:sz w:val="17"/>
          <w:szCs w:val="17"/>
          <w:color w:val="auto"/>
        </w:rPr>
      </w:pPr>
    </w:p>
    <w:p>
      <w:pPr>
        <w:ind w:left="1020" w:hanging="44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to the Board the persons to be nominated for election as directors and to each of the Board’s committees;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guidelines;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Nominating and Corporate Governance Committee periodically determines the qualifications, qualities, skills and other expertise required to be a director and develops, subject to approval by the full Board, criteria to be considered in selecting nominees for director. Among other things, the Nominating and Corporate Governance Committee considers whether the Board reflects the balance of knowledge, experience, skills, expertise, integrity, ability to make analytical inquiries, and diversity as a whole that the Nominating and Corporate Governance Committee deems appropriate. The Nominating and Corporate Governance Committee has not adopted a policy regarding the consideration of diversity in identifying director nominees. The process followed by the Nominating and Corporate Governance Committee to identify and evaluate director candidates includes requests to current directors and others for recommendations, meetings from time to time to evaluate biographical information and background material relating to potential candidates and interviews of selected candidates by members of the Nominating and Corporate Governance Committee and the Board. The Nominating and Corporate Governance Committee may use outside consultants to assist in identifying or evaluating candidates. Final approval of director candidates is determined by the full Board.</w:t>
      </w:r>
    </w:p>
    <w:p>
      <w:pPr>
        <w:spacing w:after="0" w:line="16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Nominating and Corporate Governance Committee will consider qualified nominations for directors recommended by stockholders. In general, stockholder recommendations are evaluated on the same basis as any recommendation from members of the Board or management of the Company. Recommendations should be sent to our Secretary, c/o Rocket Pharmaceuticals, Inc., 430 East 29</w:t>
      </w:r>
      <w:r>
        <w:rPr>
          <w:rFonts w:ascii="Arial" w:cs="Arial" w:eastAsia="Arial" w:hAnsi="Arial"/>
          <w:sz w:val="13"/>
          <w:szCs w:val="13"/>
          <w:color w:val="auto"/>
        </w:rPr>
        <w:t>th</w:t>
      </w:r>
      <w:r>
        <w:rPr>
          <w:rFonts w:ascii="Arial" w:cs="Arial" w:eastAsia="Arial" w:hAnsi="Arial"/>
          <w:sz w:val="16"/>
          <w:szCs w:val="16"/>
          <w:color w:val="auto"/>
        </w:rPr>
        <w:t xml:space="preserve"> Street, Suite 1040, New York, NY 10016. For additional information about our director nomination requirements, please see “Stockholder Proposals and Nominations” and our amended and restated bylaws.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members of our Compensation Committee are Mr. Carsten Boess, Mr. Pedro Granadillo and Dr. Naveen Yalamanchi. Mr. Granadillo serves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chairperson of the Compensation Committee. All members of the Compensation Committee are independent as independence is currently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5605 of the Nasdaq listing standards. The Compensation Committee operates under a written charter that satisfies the applicable standards of Nasdaq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which is available on our website at </w:t>
      </w:r>
      <w:r>
        <w:rPr>
          <w:rFonts w:ascii="Arial" w:cs="Arial" w:eastAsia="Arial" w:hAnsi="Arial"/>
          <w:sz w:val="16"/>
          <w:szCs w:val="16"/>
          <w:i w:val="1"/>
          <w:iCs w:val="1"/>
          <w:color w:val="auto"/>
        </w:rPr>
        <w:t>www.rocketpharma.com/corporate-governance/</w:t>
      </w:r>
      <w:r>
        <w:rPr>
          <w:rFonts w:ascii="Arial" w:cs="Arial" w:eastAsia="Arial" w:hAnsi="Arial"/>
          <w:sz w:val="16"/>
          <w:szCs w:val="16"/>
          <w:color w:val="auto"/>
        </w:rPr>
        <w:t>. The inclusion of our website address here and elsewhere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does not include or incorporate by reference the information on our website into this proxy statement.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Compensation Committee include, among other things:</w:t>
      </w:r>
    </w:p>
    <w:p>
      <w:pPr>
        <w:spacing w:after="0" w:line="131" w:lineRule="exact"/>
        <w:rPr>
          <w:sz w:val="20"/>
          <w:szCs w:val="20"/>
          <w:color w:val="auto"/>
        </w:rPr>
      </w:pPr>
    </w:p>
    <w:p>
      <w:pPr>
        <w:ind w:left="1020" w:hanging="44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Chief Executive Officer;</w:t>
      </w:r>
    </w:p>
    <w:p>
      <w:pPr>
        <w:spacing w:after="0" w:line="130" w:lineRule="exact"/>
        <w:rPr>
          <w:rFonts w:ascii="Arial" w:cs="Arial" w:eastAsia="Arial" w:hAnsi="Arial"/>
          <w:sz w:val="18"/>
          <w:szCs w:val="18"/>
          <w:color w:val="auto"/>
        </w:rPr>
      </w:pPr>
    </w:p>
    <w:p>
      <w:pPr>
        <w:ind w:left="1020" w:right="200" w:hanging="445"/>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determining and approving the compensation of our Chief Executive Officer;</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determining the compensation of our other executive officers;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20" w:right="40" w:hanging="445"/>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appointing, compensating, and overseeing potential current compensation advisors in accordance with the independence standards identified in the applicable rules of Nasdaq;</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our policies and procedures for the grant of equity-based awards;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director compensation;</w:t>
      </w:r>
    </w:p>
    <w:p>
      <w:pPr>
        <w:spacing w:after="0" w:line="130" w:lineRule="exact"/>
        <w:rPr>
          <w:rFonts w:ascii="Arial" w:cs="Arial" w:eastAsia="Arial" w:hAnsi="Arial"/>
          <w:sz w:val="18"/>
          <w:szCs w:val="18"/>
          <w:color w:val="auto"/>
        </w:rPr>
      </w:pPr>
    </w:p>
    <w:p>
      <w:pPr>
        <w:ind w:left="1020" w:right="60" w:hanging="445"/>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 rules to be included in our annual proxy statement or Annual Report on Form 10-K;</w:t>
      </w:r>
    </w:p>
    <w:p>
      <w:pPr>
        <w:spacing w:after="0" w:line="75" w:lineRule="exact"/>
        <w:rPr>
          <w:rFonts w:ascii="Arial" w:cs="Arial" w:eastAsia="Arial" w:hAnsi="Arial"/>
          <w:sz w:val="18"/>
          <w:szCs w:val="18"/>
          <w:color w:val="auto"/>
        </w:rPr>
      </w:pPr>
    </w:p>
    <w:p>
      <w:pPr>
        <w:ind w:left="1020" w:right="120" w:hanging="445"/>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discussing with the Board corporate succession plans for the Chief Executive Officer and other key officers.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part of its process for approving or recommending to the Board the compensation for our senior executives other than our Chief Executive Officer, the Compensation Committee reviews and considers the recommendations made by our Chief Executive Officer. In fulfilling its responsibilities, the Compensation Committee may delegate any or all of its responsibilities to a subcommittee of the Compensation Committee, but only to the extent consistent with our amended and restated certificate of incorporation, amended and restated bylaws, Nasdaq rules, and other applicable law. In addition, pursuant to its charter, the Compensation Committee has the sole authority to retain compensation consultants to assist in its evaluation of executive and director compensation. Beginning in October 2016, the Compensation Committee directly engaged Pearl Meyer &amp; Partners (“Pearl Meyer”) as its compensation consultant to assist with matters relating to senior executive and director compensation. In January 2018, the Compensation Committee transitioned this work to F.W. Cook &amp; Co. (“F.W. Cook”). The Compensation Committee requested that Pearl Meyer and F.W. Cook:</w:t>
      </w:r>
    </w:p>
    <w:p>
      <w:pPr>
        <w:spacing w:after="0" w:line="72" w:lineRule="exact"/>
        <w:rPr>
          <w:sz w:val="20"/>
          <w:szCs w:val="20"/>
          <w:color w:val="auto"/>
        </w:rPr>
      </w:pPr>
    </w:p>
    <w:p>
      <w:pPr>
        <w:ind w:left="1020" w:hanging="445"/>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 a peer group of public companies to be used to benchmark pay levels of the senior leadership team and the board of directors;</w:t>
      </w:r>
    </w:p>
    <w:p>
      <w:pPr>
        <w:spacing w:after="0" w:line="142" w:lineRule="exact"/>
        <w:rPr>
          <w:rFonts w:ascii="Arial" w:cs="Arial" w:eastAsia="Arial" w:hAnsi="Arial"/>
          <w:sz w:val="17"/>
          <w:szCs w:val="17"/>
          <w:color w:val="auto"/>
        </w:rPr>
      </w:pPr>
    </w:p>
    <w:p>
      <w:pPr>
        <w:ind w:left="1020" w:hanging="44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benchmark the total direct compensation of the senior leadership team;</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the pay mix of the senior leadership team and compare it to the pay mix of the named executive officers of the peer group executive;</w:t>
      </w:r>
    </w:p>
    <w:p>
      <w:pPr>
        <w:spacing w:after="0" w:line="153" w:lineRule="exact"/>
        <w:rPr>
          <w:rFonts w:ascii="Arial" w:cs="Arial" w:eastAsia="Arial" w:hAnsi="Arial"/>
          <w:sz w:val="16"/>
          <w:szCs w:val="16"/>
          <w:color w:val="auto"/>
        </w:rPr>
      </w:pPr>
    </w:p>
    <w:p>
      <w:pPr>
        <w:ind w:left="1020" w:right="500" w:hanging="445"/>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amount of equity used to support the executive and Board pay programs and evaluate how this equity usage compared to peer practices and proxy advisory policies; and</w:t>
      </w:r>
    </w:p>
    <w:p>
      <w:pPr>
        <w:spacing w:after="0" w:line="75" w:lineRule="exact"/>
        <w:rPr>
          <w:rFonts w:ascii="Arial" w:cs="Arial" w:eastAsia="Arial" w:hAnsi="Arial"/>
          <w:sz w:val="18"/>
          <w:szCs w:val="18"/>
          <w:color w:val="auto"/>
        </w:rPr>
      </w:pPr>
    </w:p>
    <w:p>
      <w:pPr>
        <w:ind w:left="1020" w:right="260" w:hanging="445"/>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a detailed analysis of the design and amount of board of director pay at the peer companies and contrast this against the Company’s current practices.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Pearl Meyer and F.W. Cook ultimately developed recommendations that were presented to the Compensation Committee for its consideration. These recommendations covered the executive and Board pay programs.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year ended December 31, 2017, the Compensation Committee consisted of Mr. Timothy Barberich, Dr. Gary M. Phillips and Richard N. Spivey, PharmD, PhD. No member of our Compensation Committee then 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office had ever been an officer or employee of the Company. None of our executive officers then in office served as a member of the board of directors or compensation committee of any other entity that had one or more of its officers serving on our Board or Compensation Committee.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Roderick Wong currently serves as chairperson of our Board. Our Board has determined that its current structure, with separate Chairman and CEO roles, is in the best interests of the Company and its stockholders at this time. The Board believes that this governance structure promotes balance between the Board’s independent authority to oversee our business and the CEO and his management team who manage the business on a day-to-day basis. Our Board believes that this leadership structure is appropriate for us, given Dr. Wong’s extensive knowledge and understanding of the biopharmaceutical industry and his ability to effectively identify strategic priorities for the Company. Furthermore, our Board believes that Dr. Wong’s qualifications to be our chairperson include his significant experience as a healthcare investor in all stages of the lifecycle of biopharmaceutical companies.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encourages management to promote a culture that incorporates risk management into the Company’s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overseeing our significant financial and operational risk exposures and the steps our management has taken to monitor and control these exposures.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Audit Committee also monitors compliance with legal and regulatory requirements, including managing violations of our code of business conduct and ethics, and considers and approves or disapproves any related-person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6"/>
          <w:szCs w:val="16"/>
          <w:i w:val="1"/>
          <w:iCs w:val="1"/>
          <w:color w:val="auto"/>
        </w:rPr>
        <w:t>www.rocketpharma.com/corporate-governance/</w:t>
      </w:r>
      <w:r>
        <w:rPr>
          <w:rFonts w:ascii="Arial" w:cs="Arial" w:eastAsia="Arial" w:hAnsi="Arial"/>
          <w:sz w:val="16"/>
          <w:szCs w:val="16"/>
          <w:color w:val="auto"/>
        </w:rPr>
        <w:t>, under the corporate governance tab on our website. We intend to satisfy applicable disclosure requirements regarding an amendment to, or a waiver from, a provision of our code of business conduct and ethics that applies to our principal executive officer, principal financial officer, principal accounting officer, or persons performing similar functions, by posting such information on our website at the internet address set forth above. The inclusion of our website address here and elsewhere in this proxy statement does not include or incorporate by reference the information on our website into this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Communications with Our Board</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Stockholders wishing to communicate directly with our Board may send correspondence to our Secretary, c/o Rocket Pharmaceuticals, Inc., 430 East 29</w:t>
      </w:r>
      <w:r>
        <w:rPr>
          <w:rFonts w:ascii="Arial" w:cs="Arial" w:eastAsia="Arial" w:hAnsi="Arial"/>
          <w:sz w:val="15"/>
          <w:szCs w:val="15"/>
          <w:color w:val="auto"/>
        </w:rPr>
        <w:t>th</w:t>
      </w:r>
      <w:r>
        <w:rPr>
          <w:rFonts w:ascii="Arial" w:cs="Arial" w:eastAsia="Arial" w:hAnsi="Arial"/>
          <w:sz w:val="18"/>
          <w:szCs w:val="18"/>
          <w:color w:val="auto"/>
        </w:rPr>
        <w:t xml:space="preserve"> Street, Suite 1040, New York, NY 10016. Our Secretary will relay the information received to the Board. Stockholders may also visit our website at </w:t>
      </w:r>
      <w:r>
        <w:rPr>
          <w:rFonts w:ascii="Arial" w:cs="Arial" w:eastAsia="Arial" w:hAnsi="Arial"/>
          <w:sz w:val="18"/>
          <w:szCs w:val="18"/>
          <w:i w:val="1"/>
          <w:iCs w:val="1"/>
          <w:color w:val="auto"/>
        </w:rPr>
        <w:t xml:space="preserve">www.rocketpharma.com </w:t>
      </w:r>
      <w:r>
        <w:rPr>
          <w:rFonts w:ascii="Arial" w:cs="Arial" w:eastAsia="Arial" w:hAnsi="Arial"/>
          <w:sz w:val="18"/>
          <w:szCs w:val="18"/>
          <w:color w:val="auto"/>
        </w:rPr>
        <w:t>and select “Contact Us” to communicate online with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Company’s stockholders are being asked by the Audit Committee to ratify the appointment of EisnerAmper LLP to serve as the Company’s independent registered public accounting firm. EisnerAmper LLP has served as the independent registered public accounting firm for Private Rocket since August 2017 and was appointed to be the independent registered public accounting firm for the Company on March 16, 2018. The Audit Committee is solely responsible for selecting the Company’s independent registered public accounting firm, and stockholder approval is not required to appoint EisnerAmper LLP as the Company’s independent registered public accounting firm for the fiscal year ending December 31, 2018. However, the Board believes that submitting the appointment of EisnerAmper LLP to the stockholders for ratification is good corporate governance. If the stockholders do not ratify this appointment, the Audit Committee will reconsider whether to retain EisnerAmper LLP. If the selection of EisnerAmper LLP is ratified, the Audit Committee, in its discretion, may direct the appointment of a different independent registered public accounting firm at any time it decides that such a change would be in the best interest of the Company and its stockholders. Representatives of EisnerAmper LLP are expected to be present at the Annual Meeting. These representatives will be provided an opportunity to make a statement at the Annual Meeting if they desire to do so and will be available to respond to appropriate questions from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proposal to ratify the appointment of EisnerAmper LLP as our independent registered public accounting firm for the fiscal year ending December 31, 2018, requires an affirmative vote of a majority of the votes cast for or against the proposal at the Annual Meeting by holders of shares present in person or represented by proxy and entitled to vote on the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Recommendation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RECOMMENDS A VOTE “FOR” THE RATIFICATION OF EISNERAMPER LLP AS THE COMPANY’S INDEPENDENT REGISTERED PUBLIC ACCOUNTING FIRM.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Dismissal of RSM US LLP</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previously disclosed in the Company’s Current Report on Form 8-K filed on March 21, 2018, RSM US LLP, an independent registered public accounting firm, served as our independent auditors until March 16, 2018, when the Audit Committee dismissed RSM US LLP in connection with the appointment of EisnerAmper LLP.</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reports of RSM US LLP on the financial statements of Rocket Pharmaceuticals, Inc. (formerly known as Inotek Pharmaceuticals Corporation) for each of fiscal years ended December 31, 2017 and December 31, 2016 did not contain an adverse opinion or a disclaimer of opinion, nor were they qualified or modified as to uncertainty, audit scope or accounting principle.</w:t>
      </w:r>
    </w:p>
    <w:p>
      <w:pPr>
        <w:spacing w:after="0" w:line="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fiscal years ended December 31, 2017 and December 31, 2016, and the subsequent interim period, there were no disagreements (as that term is defined in Item 304(a)(1)(iv) of Regulation S-K and related instructions) between the Company and RSM US LLP on any matter of accounting principles or practices, financial statement disclosure or auditing scope or procedures which disagreements, if not resolved to the satisfaction of RSM US LLP would have caused RSM US LLP to make reference thereto in its reports on the financial statements for such years.</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disclosed in the Company’s Current Report on Form 8-K filed on March 21, 2018, the Company provided RSM US LLP with a copy of the disclosures it made on its Current Report on Form 8-K filed on March 21, 2018</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(which are repeated above) and requested that RSM US LLP furnish the Company with a letter addressed to the SEC stating whether it agrees with the statements contained herein. A copy of RSM US LLP’s letter, dated March 21, 2018, is filed as Exhibit 16.1 to the Company’s Current Report on Form 8-K filed on March 21, 2018.</w:t>
      </w:r>
    </w:p>
    <w:p>
      <w:pPr>
        <w:spacing w:after="0" w:line="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the fiscal years ended December 31, 2017 and December 31, 2016, and the subsequent interim period through March 16, 2018, neither the Company, nor anyone acting on its behalf, consulted with EisnerAmper LLP regarding: (i) the application of accounting principles to a specified transaction, either completed or proposed, or the type of audit opinion that may be rendered on the Company’s financial statements, and EisnerAmper LLP did not provide either a written report or oral advice to the Company that was an important factor considered by the Company in reaching a decision as to the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pre-approves all audit and permissible non-audit services provided by its independent registered public accounting firm. These services may include audit services, audit-related services, tax services and other services. Pre-approval may be given as part of the Audit Committee’s approval of the scope of the engagement of the independent registered public accounting firm or on an individual case-by-case basis. All of the services described below were approved by our Audit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12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2014, we retained RSM US LLP to provide audit services for the fiscal years ended December 31, 2014, 2013, and 2012, and for services in connection with our initial public offering which took place in February 2015 (the “IPO”). In the table below, Audit Fees reflects fees for audit services for the years ended December 31, 2017 and December 31, 2016. Audit-Related Fees for 2017 primarily reflect fees for services related to the Reverse Merger. Audit-Related Fees for 2016 primarily reflect fees for services related to our registration statement on Form S-3. The Audit Committee pre-approved all services provided by our independent registered public accounting firm for the fiscal years ended December 31, 2017 and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139,550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Audit-Related Fees (2)</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50,740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All Other Fees (4)</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190,290</w:t>
            </w:r>
          </w:p>
        </w:tc>
        <w:tc>
          <w:tcPr>
            <w:tcW w:w="7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right="420" w:hanging="452"/>
        <w:spacing w:after="0" w:line="274"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“Audit Fees” include the aggregate fees billed for audit of annual financial statements, review of financial statements included in Form 10-Qs, and services normally provided by the accountant for statutory and regulatory filings or engagements for those fiscal years.</w:t>
      </w:r>
    </w:p>
    <w:p>
      <w:pPr>
        <w:ind w:left="460" w:right="1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“Audit-Related Fees” include the aggregate fees billed for assurance and related services by the principal accountant that are reasonably related to the performance of the audit or review of the Company’s financial statements.</w:t>
      </w:r>
    </w:p>
    <w:p>
      <w:pPr>
        <w:ind w:left="460" w:right="4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Fees” include the aggregate fees billed for professional services rendered by the principal accountant for tax compliance, tax advice, and tax planning.</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Fees” include the aggregate fees billed for any other products and services provided by the principal accountant.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COMPANY’S SECOND AMENDED AND RESTATED 2014 STOCK OPTION AND INCENTIVE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Proposal</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August 2014, the Board adopted the 2014 Stock Option and Incentive Plan (the “Original Plan”), which was subsequently approved by the stockholders in September 2014. The Board and stockholders subsequently approved amendments to the Original Plan in November 2014 and the stockholders further ratified the Original Plan in June 2015.</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April 2018, the Board approved the Second Amended and Restated 2014 Stock Option and Incentive Plan (the “Proposed 2014 Plan”) which contains the following material features and changes from the Original Plan:</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Shares Authorized for Issuance</w:t>
      </w:r>
      <w:r>
        <w:rPr>
          <w:rFonts w:ascii="Arial" w:cs="Arial" w:eastAsia="Arial" w:hAnsi="Arial"/>
          <w:sz w:val="16"/>
          <w:szCs w:val="16"/>
          <w:color w:val="auto"/>
        </w:rPr>
        <w:t>. As of April 2, 2018, [ ] shares were authorized for issuance under the Original Plan, of which [ ] shares</w:t>
      </w:r>
      <w:r>
        <w:rPr>
          <w:rFonts w:ascii="Arial" w:cs="Arial" w:eastAsia="Arial" w:hAnsi="Arial"/>
          <w:sz w:val="16"/>
          <w:szCs w:val="16"/>
          <w:i w:val="1"/>
          <w:iCs w:val="1"/>
          <w:color w:val="auto"/>
        </w:rPr>
        <w:t xml:space="preserve"> </w:t>
      </w:r>
      <w:r>
        <w:rPr>
          <w:rFonts w:ascii="Arial" w:cs="Arial" w:eastAsia="Arial" w:hAnsi="Arial"/>
          <w:sz w:val="16"/>
          <w:szCs w:val="16"/>
          <w:color w:val="auto"/>
        </w:rPr>
        <w:t>remained available for issuance, subject to automatic increase on each January 1 for the term of the Original Plan by 4% of the number of shares of our common stock issued and outstanding on the immediately preceding December 31. On January 4, 2018, in connection with the Reverse Merger, the Company implemented the Stock Split, which adjusted the number of shares reserved and available for issuance under the Original Plan. Subsequently, the Company issued 26,272,107 shares of common stock on January 4, 2018 in connection with the Reverse Merger. The Proposed 2014 Plan nevertheless continues to provide for an aggregate maximum number of shares of common stock initially authorized for issuance of [ ] shares (the “Initial Limit”). On January 1, 2019, and each January 1 thereafter for the term of the Proposed 2014 Plan, the number of shares reserved and available under the Proposed 2014 Plan will automatically increase by 4% of the number of shares of our common stock issued and outstanding on the immediately preceding December 31 (the “Annual Increase”);</w:t>
      </w:r>
    </w:p>
    <w:p>
      <w:pPr>
        <w:spacing w:after="0" w:line="7" w:lineRule="exact"/>
        <w:rPr>
          <w:sz w:val="20"/>
          <w:szCs w:val="20"/>
          <w:color w:val="auto"/>
        </w:rPr>
      </w:pPr>
    </w:p>
    <w:p>
      <w:pPr>
        <w:sectPr>
          <w:pgSz w:w="11900" w:h="16838" w:orient="portrait"/>
          <w:cols w:equalWidth="0" w:num="2">
            <w:col w:w="640" w:space="380"/>
            <w:col w:w="10400"/>
          </w:cols>
          <w:pgMar w:left="240" w:top="459" w:right="239" w:bottom="1440" w:gutter="0" w:footer="0" w:header="0"/>
          <w:type w:val="continuous"/>
        </w:sectPr>
      </w:pPr>
    </w:p>
    <w:p>
      <w:pPr>
        <w:ind w:left="1020" w:hanging="445"/>
        <w:spacing w:after="0" w:line="25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Increased Award Limits</w:t>
      </w:r>
      <w:r>
        <w:rPr>
          <w:rFonts w:ascii="Arial" w:cs="Arial" w:eastAsia="Arial" w:hAnsi="Arial"/>
          <w:sz w:val="18"/>
          <w:szCs w:val="18"/>
          <w:color w:val="auto"/>
        </w:rPr>
        <w:t>. An increase in the number shares of stock underlying stock options or stock appreciation rights that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any one individual in any single calendar year of 750,000 shares, for a maximum of 1,000,000 shares of common stock, and an increase in the number of shares of stock that may be issued in the form of incentive stock options. The Stock Split adjusted the foregoing limits in the Original Plan. These increases will bring these limits back to the pre-Stock Split amounts;</w:t>
      </w:r>
    </w:p>
    <w:p>
      <w:pPr>
        <w:spacing w:after="0" w:line="1" w:lineRule="exact"/>
        <w:rPr>
          <w:rFonts w:ascii="Arial" w:cs="Arial" w:eastAsia="Arial" w:hAnsi="Arial"/>
          <w:sz w:val="18"/>
          <w:szCs w:val="18"/>
          <w:color w:val="auto"/>
        </w:rPr>
      </w:pPr>
    </w:p>
    <w:p>
      <w:pPr>
        <w:ind w:left="1020" w:right="120" w:hanging="445"/>
        <w:spacing w:after="0" w:line="25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Section 162(m) Revisions</w:t>
      </w:r>
      <w:r>
        <w:rPr>
          <w:rFonts w:ascii="Arial" w:cs="Arial" w:eastAsia="Arial" w:hAnsi="Arial"/>
          <w:sz w:val="18"/>
          <w:szCs w:val="18"/>
          <w:color w:val="auto"/>
        </w:rPr>
        <w:t>. In light of recent changes in the tax code, the Proposed 2014 Plan eliminates certain provisions relating to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and</w:t>
      </w:r>
    </w:p>
    <w:p>
      <w:pPr>
        <w:ind w:left="1020" w:hanging="44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term of the Proposed 2014 Plan will expire on June 25, 2028.</w:t>
      </w:r>
    </w:p>
    <w:p>
      <w:pPr>
        <w:spacing w:after="0" w:line="10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 is submitting the Proposed 2014 Plan to the stockholders for their approval at the Annual Meeting. The Board unanimously recommends that the Company’s stockholders approve the Proposed 2014 Plan. The Company’s ability to grant an appropriate number of equity-based awards continues to be crucial in allowing the Company to effectively compete for talent and appropriately reward employees. It is in the long-term interest of the Company and its stockholders to strengthen the ability to attract, motivate and retain employees, officers, directors and consultants, and to provide additional incentive for those persons through stock ownership and other incentives to improve operations, increase profits and strengthen the mutuality of interest between those persons and the Company’s stockholders.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the Reverse Merger was not completed until January 2018, the Company currently does not have an established grant practice and therefore it is difficult to predict how long the share reserve under the Original Plan is expected to last. Expectations regarding future share usage could be impacted by a number of factors, including award type mix, hiring and promotion activity at the executive level, the future performance of our stock price, the consequences of acquiring other companies and other factors.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of the Stock Split, the number of shares authorized for issuance, and the limit on the number of incentive stock options that may be issued under the Original Plan and the limit on the maximum number of shares of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that could be granted to a single individual in a single calendar year pursuant to the award of stock options or stock appreciation rights were adjusted. Because the Company issued 26,272,107 shares of common stock on January 4, 2018 in connection with the Reverse Merger, the as-adjusted incentive stock option and per person stock option and stock appreciation right limits are not adequate to accomplish the purposes of the Original Plan.</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Proposed 2014 Plan is not approved, the Original Plan as currently in effect will continue and we may not be able to provide persons eligible for awards with compensation packages that are necessary to properly attract, retain and motivate these individuals.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Proposed 2014 Plan</w:t>
      </w:r>
    </w:p>
    <w:p>
      <w:pPr>
        <w:spacing w:after="0" w:line="121" w:lineRule="exact"/>
        <w:rPr>
          <w:sz w:val="20"/>
          <w:szCs w:val="20"/>
          <w:color w:val="auto"/>
        </w:rPr>
      </w:pPr>
    </w:p>
    <w:p>
      <w:pPr>
        <w:ind w:right="220" w:firstLine="342"/>
        <w:spacing w:after="0" w:line="308" w:lineRule="auto"/>
        <w:rPr>
          <w:sz w:val="20"/>
          <w:szCs w:val="20"/>
          <w:color w:val="auto"/>
        </w:rPr>
      </w:pPr>
      <w:r>
        <w:rPr>
          <w:rFonts w:ascii="Arial" w:cs="Arial" w:eastAsia="Arial" w:hAnsi="Arial"/>
          <w:sz w:val="17"/>
          <w:szCs w:val="17"/>
          <w:color w:val="auto"/>
        </w:rPr>
        <w:t xml:space="preserve">The following description of certain features of the Second Amended and Restated 2014 Stock Option and Incentive Plan is intended to be a summary only. The summary is qualified in its entirety by the full text of the Proposed 2014 Plan, which is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147" w:lineRule="exact"/>
        <w:rPr>
          <w:sz w:val="20"/>
          <w:szCs w:val="20"/>
          <w:color w:val="auto"/>
        </w:rPr>
      </w:pPr>
    </w:p>
    <w:p>
      <w:pPr>
        <w:ind w:right="300" w:firstLine="342"/>
        <w:spacing w:after="0" w:line="302"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Proposed 2014 Plan provides the Company with the flexibility to use various equity-based incentive and other awards as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tools to motivate our workforce. These tools include stock options, stock appreciation rights, restricted stock, restricted stock units, unrestricted stock, performance share awards, cash-based awards and dividend equivalent rights. These tools provide meaningful performance incentives to our directors, officers, employees and other service providers, which, in turn, are expected to improve the Company’s long-term performance.</w:t>
      </w:r>
    </w:p>
    <w:p>
      <w:pPr>
        <w:spacing w:after="0" w:line="154" w:lineRule="exact"/>
        <w:rPr>
          <w:sz w:val="20"/>
          <w:szCs w:val="20"/>
          <w:color w:val="auto"/>
        </w:rPr>
      </w:pPr>
    </w:p>
    <w:p>
      <w:pPr>
        <w:ind w:right="120" w:firstLine="342"/>
        <w:spacing w:after="0" w:line="25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Proposed 2014 Plan is currently administered by the Compensation Committee (the “Administrator”). The Administrator has</w:t>
      </w:r>
      <w:r>
        <w:rPr>
          <w:rFonts w:ascii="Arial" w:cs="Arial" w:eastAsia="Arial" w:hAnsi="Arial"/>
          <w:sz w:val="18"/>
          <w:szCs w:val="18"/>
          <w:i w:val="1"/>
          <w:iCs w:val="1"/>
          <w:color w:val="auto"/>
        </w:rPr>
        <w:t xml:space="preserve"> </w:t>
      </w:r>
      <w:r>
        <w:rPr>
          <w:rFonts w:ascii="Arial" w:cs="Arial" w:eastAsia="Arial" w:hAnsi="Arial"/>
          <w:sz w:val="18"/>
          <w:szCs w:val="18"/>
          <w:color w:val="auto"/>
        </w:rPr>
        <w:t>full power to select, from among the individuals eligible for awards, the individuals to whom awards will be granted, to make any combination of awards to participants, and to determine the specific terms and conditions of each award, subject to the provisions of the Proposed 2014 Plan. The Administrator may delegate to our Chief Executive Officer the authority to grant awards to employees who are not subject to the reporting and other provisions of Section 16 of the Exchange Act, subject to certain limitations and guidelines.</w:t>
      </w:r>
    </w:p>
    <w:p>
      <w:pPr>
        <w:spacing w:after="0" w:line="188" w:lineRule="exact"/>
        <w:rPr>
          <w:sz w:val="20"/>
          <w:szCs w:val="20"/>
          <w:color w:val="auto"/>
        </w:rPr>
      </w:pPr>
    </w:p>
    <w:p>
      <w:pPr>
        <w:ind w:right="20" w:firstLine="342"/>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Proposed 2014 Plan are those full or part-time officers, employees, non-employee directors and other key</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(including consultants) of the Company and its subsidiaries as selected from time to time by the Administrator in its discretion. As of April 2, 2018, individuals who are currently eligible to participate in the Proposed 2014 Plan include 4 officers, 14 employees who are not officers and 6 non-employee directors.</w:t>
      </w:r>
    </w:p>
    <w:p>
      <w:pPr>
        <w:spacing w:after="0" w:line="187" w:lineRule="exact"/>
        <w:rPr>
          <w:sz w:val="20"/>
          <w:szCs w:val="20"/>
          <w:color w:val="auto"/>
        </w:rPr>
      </w:pPr>
    </w:p>
    <w:p>
      <w:pPr>
        <w:ind w:right="40" w:firstLine="342"/>
        <w:spacing w:after="0" w:line="286" w:lineRule="auto"/>
        <w:rPr>
          <w:sz w:val="20"/>
          <w:szCs w:val="20"/>
          <w:color w:val="auto"/>
        </w:rPr>
      </w:pPr>
      <w:r>
        <w:rPr>
          <w:rFonts w:ascii="Arial" w:cs="Arial" w:eastAsia="Arial" w:hAnsi="Arial"/>
          <w:sz w:val="16"/>
          <w:szCs w:val="16"/>
          <w:i w:val="1"/>
          <w:iCs w:val="1"/>
          <w:color w:val="auto"/>
        </w:rPr>
        <w:t>Plan Limits</w:t>
      </w:r>
      <w:r>
        <w:rPr>
          <w:rFonts w:ascii="Arial" w:cs="Arial" w:eastAsia="Arial" w:hAnsi="Arial"/>
          <w:sz w:val="16"/>
          <w:szCs w:val="16"/>
          <w:color w:val="auto"/>
        </w:rPr>
        <w:t>. Subject to stockholder approval, [•] shares will initially be reserved under the Proposed 2014 Plan. On January 1, 2019, and each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thereafter, the number of shares reserved and available under the Proposed 2014 Plan will automatically increase by 4% of the number of shares of our common stock issued and outstanding on the immediately preceding December 31. The maximum award of stock options or stock appreciation rights granted to any one individual will not exceed 1,000,000 shares of common stock (subject to adjustment for stock splits and similar events) for any calendar year period. The maximum aggregate number of shares of stock that may be issued under the Proposed 2014 Plan in the form of incentive stock options may not exceed the Initial Limit as cumulatively increased on each January 1 by the lesser of the Annual Increase for such year or 8,000,000 shares of common stock. The shares of common stock underlying any awards that are forfeited, canceled, held back upon exercise of an option or settlement of an award to cover the exercise price or tax withholding, reacquired by the Company prior to vesting, satisfied without the issuance of common stock or otherwise terminated (other than by exercise) shall be added back to the shares of common stock available for issuance under the Proposed 2014 Plan. In the event the Company repurchases shares of common stock on the open market, such shares shall not be added to the shares of common stock available for issuance under the Proposed 2014 Plan. Stock may be issued under the Proposed 2014 Plan in connection with a merger or acquisition as permitted by Nasdaq Listing Rule 5635(c), NYSE Listed Company Manual Section 303A.08, AMEX Company Guide Section 711 or other applicable rule, and such issuance will not reduce the number of shares of stock available for issuance under the Proposed 2014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342"/>
        <w:spacing w:after="0" w:line="270"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Proposed 2014 Plan permits the granting of (1) options to purchase common stock intended to qualify as incentive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422 of the Internal Revenue Code of 1986, as amended (the “Code”) and (2) options that do not so qualify. Options granted under the Proposed 2014 Plan will be non-qualified options if they fail to qualify as incentive options or exceed the annual limit on incentive stock options. Incentive stock options may only be granted to employees of the Company and its subsidiaries. Non-qualified options may be granted to any persons eligible to receive incentive options and to non-employee directors and key persons. The option exercise price of each option will be determined by the Administrator but, subject to certain limited exceptions for awards assumed or substituted by the Company in connection with certain transactions, may not be less than 100% of the fair market value of the common stock on the date of grant. Fair market value for this purpose will be the last reported sale price of the shares of common stock on The Nasdaq Global Select Market on the date of grant. The exercise price of an option may not be reduced after the date of the option grant, other than to appropriately reflect changes in our capital structure.</w:t>
      </w:r>
    </w:p>
    <w:p>
      <w:pPr>
        <w:spacing w:after="0" w:line="74" w:lineRule="exact"/>
        <w:rPr>
          <w:sz w:val="20"/>
          <w:szCs w:val="20"/>
          <w:color w:val="auto"/>
        </w:rPr>
      </w:pPr>
    </w:p>
    <w:p>
      <w:pPr>
        <w:ind w:right="40" w:firstLine="342"/>
        <w:spacing w:after="0" w:line="297" w:lineRule="auto"/>
        <w:rPr>
          <w:sz w:val="20"/>
          <w:szCs w:val="20"/>
          <w:color w:val="auto"/>
        </w:rPr>
      </w:pPr>
      <w:r>
        <w:rPr>
          <w:rFonts w:ascii="Arial" w:cs="Arial" w:eastAsia="Arial" w:hAnsi="Arial"/>
          <w:sz w:val="16"/>
          <w:szCs w:val="16"/>
          <w:color w:val="auto"/>
        </w:rPr>
        <w:t>The term of each option will be fixed by the Administrator and may not exceed ten years from the date of grant, subject to certain limited exceptions as provided in the Proposed 2014 Plan. The Administrator will determine at what time or times each option may be exercised. Options may be made exercisable in installments and the exercisability of options may be accelerated by the Administrator . In general, unless otherwise permitted by the Administrator, no option granted under the Proposed 2014 Plan is transferable by the optionee other than by will or by the laws of descent and distribution, and options may be exercised during the optionee’s lifetime only by the optionee, or by the optionee’s legal representative or guardian in the case of the optionee’s incapacity.</w:t>
      </w:r>
    </w:p>
    <w:p>
      <w:pPr>
        <w:spacing w:after="0" w:line="50" w:lineRule="exact"/>
        <w:rPr>
          <w:sz w:val="20"/>
          <w:szCs w:val="20"/>
          <w:color w:val="auto"/>
        </w:rPr>
      </w:pPr>
    </w:p>
    <w:p>
      <w:pPr>
        <w:ind w:firstLine="342"/>
        <w:spacing w:after="0" w:line="276" w:lineRule="auto"/>
        <w:rPr>
          <w:sz w:val="20"/>
          <w:szCs w:val="20"/>
          <w:color w:val="auto"/>
        </w:rPr>
      </w:pPr>
      <w:r>
        <w:rPr>
          <w:rFonts w:ascii="Arial" w:cs="Arial" w:eastAsia="Arial" w:hAnsi="Arial"/>
          <w:sz w:val="17"/>
          <w:szCs w:val="17"/>
          <w:color w:val="auto"/>
        </w:rPr>
        <w:t>Upon exercise of options, the option exercise price must be paid in full either in cash, by certified or bank check or other instrument acceptable to the Administrator or by delivery (or attestation to the ownership) of shares of common stock that are not then subject to any restrictions under any Company plan. Subject to applicable law, the exercise price may also be delivered to us by a broker pursuant to irrevocable instructions to the broker from the optionee. In addition, the Administrator may permit non-qualified options to be exercised using a net exercise feature, which reduces the number of shares issued to the optionee by the number of shares with a fair market value equal to the exercise price.</w:t>
      </w:r>
    </w:p>
    <w:p>
      <w:pPr>
        <w:spacing w:after="0" w:line="64" w:lineRule="exact"/>
        <w:rPr>
          <w:sz w:val="20"/>
          <w:szCs w:val="20"/>
          <w:color w:val="auto"/>
        </w:rPr>
      </w:pPr>
    </w:p>
    <w:p>
      <w:pPr>
        <w:ind w:right="80" w:firstLine="342"/>
        <w:spacing w:after="0" w:line="277" w:lineRule="auto"/>
        <w:rPr>
          <w:sz w:val="20"/>
          <w:szCs w:val="20"/>
          <w:color w:val="auto"/>
        </w:rPr>
      </w:pPr>
      <w:r>
        <w:rPr>
          <w:rFonts w:ascii="Arial" w:cs="Arial" w:eastAsia="Arial" w:hAnsi="Arial"/>
          <w:sz w:val="18"/>
          <w:szCs w:val="18"/>
          <w:color w:val="auto"/>
        </w:rPr>
        <w:t>To qualify as incentive stock options, options must meet additional federal tax requirements, including a $100,000 limit on the value of shares subject to incentive stock options that first become exercisable by a participant in any one calendar year.</w:t>
      </w:r>
    </w:p>
    <w:p>
      <w:pPr>
        <w:spacing w:after="0" w:line="170" w:lineRule="exact"/>
        <w:rPr>
          <w:sz w:val="20"/>
          <w:szCs w:val="20"/>
          <w:color w:val="auto"/>
        </w:rPr>
      </w:pPr>
    </w:p>
    <w:p>
      <w:pPr>
        <w:ind w:right="60" w:firstLine="342"/>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Administrator may award stock appreciation rights subject to such conditions and restrictions as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Stock appreciation rights entitle the recipient to shares of common stock equal to the value of the appreciation in the stock price over the exercise price. The exercise price may not be less than the fair market value of the common stock on the date of grant, subject to certain limited exceptions for awards assumed or substituted by the Company in connection with certain transactions. The maximum term of a stock appreciation right is ten years, subject to certain limited exceptions as provided in the Proposed 2014 Plan.</w:t>
      </w:r>
    </w:p>
    <w:p>
      <w:pPr>
        <w:spacing w:after="0" w:line="188" w:lineRule="exact"/>
        <w:rPr>
          <w:sz w:val="20"/>
          <w:szCs w:val="20"/>
          <w:color w:val="auto"/>
        </w:rPr>
      </w:pPr>
    </w:p>
    <w:p>
      <w:pPr>
        <w:ind w:right="340" w:firstLine="342"/>
        <w:spacing w:after="0" w:line="264"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The Administrator may award shares of common stock to participants subject to such conditions and restrictions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determine. These conditions and restrictions may include the achievement of certain performance goals and/or continued employment with us through a specified restricted period.</w:t>
      </w:r>
    </w:p>
    <w:p>
      <w:pPr>
        <w:spacing w:after="0" w:line="114" w:lineRule="exact"/>
        <w:rPr>
          <w:sz w:val="20"/>
          <w:szCs w:val="20"/>
          <w:color w:val="auto"/>
        </w:rPr>
      </w:pPr>
    </w:p>
    <w:p>
      <w:pPr>
        <w:ind w:right="80" w:firstLine="342"/>
        <w:spacing w:after="0" w:line="255"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Administrator may award restricted stock units to any participants. Restricted stock units are ultimately payable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or, if determined by the Administrator, the cash equivalent, and may be subject to such conditions and restrictions as the Administrator may determine. These conditions and restrictions may include the achievement of certain performance goals and/or continued employment with the Company through a specified vesting period or for board fees in lieu of cash compensation. In the Administrator’s sole discretion, it may permit a participant to make an advance election to receive a portion of his or her future cash compensation otherwise due in the form of restricted stock units, subject to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participant’s compliance with the procedures established by the Administrator and requirements of Section 409A. During the deferral period, the restricted stock units may be credited with dividend equivalent rights.</w:t>
      </w:r>
    </w:p>
    <w:p>
      <w:pPr>
        <w:spacing w:after="0" w:line="170" w:lineRule="exact"/>
        <w:rPr>
          <w:sz w:val="20"/>
          <w:szCs w:val="20"/>
          <w:color w:val="auto"/>
        </w:rPr>
      </w:pPr>
    </w:p>
    <w:p>
      <w:pPr>
        <w:ind w:right="140" w:firstLine="342"/>
        <w:spacing w:after="0" w:line="264"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The Administrator may also grant shares of common stock that are free from any restrictions under the Proposed 2014 Plan.</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stock may be granted to any participant in recognition of past services or other valid consideration and may be issued in lieu of cash compensation due to such participant.</w:t>
      </w:r>
    </w:p>
    <w:p>
      <w:pPr>
        <w:spacing w:after="0" w:line="181" w:lineRule="exact"/>
        <w:rPr>
          <w:sz w:val="20"/>
          <w:szCs w:val="20"/>
          <w:color w:val="auto"/>
        </w:rPr>
      </w:pPr>
    </w:p>
    <w:p>
      <w:pPr>
        <w:ind w:right="220" w:firstLine="342"/>
        <w:spacing w:after="0" w:line="277" w:lineRule="auto"/>
        <w:rPr>
          <w:sz w:val="20"/>
          <w:szCs w:val="20"/>
          <w:color w:val="auto"/>
        </w:rPr>
      </w:pPr>
      <w:r>
        <w:rPr>
          <w:rFonts w:ascii="Arial" w:cs="Arial" w:eastAsia="Arial" w:hAnsi="Arial"/>
          <w:sz w:val="18"/>
          <w:szCs w:val="18"/>
          <w:i w:val="1"/>
          <w:iCs w:val="1"/>
          <w:color w:val="auto"/>
        </w:rPr>
        <w:t>Cash-Based Awards</w:t>
      </w:r>
      <w:r>
        <w:rPr>
          <w:rFonts w:ascii="Arial" w:cs="Arial" w:eastAsia="Arial" w:hAnsi="Arial"/>
          <w:sz w:val="18"/>
          <w:szCs w:val="18"/>
          <w:color w:val="auto"/>
        </w:rPr>
        <w:t>. The Administrator may grant cash bonuses under the Proposed 2014 Plan to participants. The cash bonuses may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certain performance goals.</w:t>
      </w:r>
    </w:p>
    <w:p>
      <w:pPr>
        <w:spacing w:after="0" w:line="170" w:lineRule="exact"/>
        <w:rPr>
          <w:sz w:val="20"/>
          <w:szCs w:val="20"/>
          <w:color w:val="auto"/>
        </w:rPr>
      </w:pPr>
    </w:p>
    <w:p>
      <w:pPr>
        <w:ind w:right="480" w:firstLine="342"/>
        <w:spacing w:after="0" w:line="308" w:lineRule="auto"/>
        <w:rPr>
          <w:sz w:val="20"/>
          <w:szCs w:val="20"/>
          <w:color w:val="auto"/>
        </w:rPr>
      </w:pPr>
      <w:r>
        <w:rPr>
          <w:rFonts w:ascii="Arial" w:cs="Arial" w:eastAsia="Arial" w:hAnsi="Arial"/>
          <w:sz w:val="17"/>
          <w:szCs w:val="17"/>
          <w:i w:val="1"/>
          <w:iCs w:val="1"/>
          <w:color w:val="auto"/>
        </w:rPr>
        <w:t>Performance Share Awards</w:t>
      </w:r>
      <w:r>
        <w:rPr>
          <w:rFonts w:ascii="Arial" w:cs="Arial" w:eastAsia="Arial" w:hAnsi="Arial"/>
          <w:sz w:val="17"/>
          <w:szCs w:val="17"/>
          <w:color w:val="auto"/>
        </w:rPr>
        <w:t>. The Administrator may grant performance share awards to any participant that entitle the recipient to receive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upon the achievement of certain performance goals and such other conditions as the Administrator shall determine.</w:t>
      </w:r>
    </w:p>
    <w:p>
      <w:pPr>
        <w:spacing w:after="0" w:line="147" w:lineRule="exact"/>
        <w:rPr>
          <w:sz w:val="20"/>
          <w:szCs w:val="20"/>
          <w:color w:val="auto"/>
        </w:rPr>
      </w:pPr>
    </w:p>
    <w:p>
      <w:pPr>
        <w:ind w:firstLine="342"/>
        <w:spacing w:after="0" w:line="297" w:lineRule="auto"/>
        <w:rPr>
          <w:sz w:val="20"/>
          <w:szCs w:val="20"/>
          <w:color w:val="auto"/>
        </w:rPr>
      </w:pPr>
      <w:r>
        <w:rPr>
          <w:rFonts w:ascii="Arial" w:cs="Arial" w:eastAsia="Arial" w:hAnsi="Arial"/>
          <w:sz w:val="16"/>
          <w:szCs w:val="16"/>
          <w:i w:val="1"/>
          <w:iCs w:val="1"/>
          <w:color w:val="auto"/>
        </w:rPr>
        <w:t>Dividend Equivalent Rights</w:t>
      </w:r>
      <w:r>
        <w:rPr>
          <w:rFonts w:ascii="Arial" w:cs="Arial" w:eastAsia="Arial" w:hAnsi="Arial"/>
          <w:sz w:val="16"/>
          <w:szCs w:val="16"/>
          <w:color w:val="auto"/>
        </w:rPr>
        <w:t>. The Administrator may grant dividend equivalent rights to participants, which entitle the recipient to receive credits for</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that would be paid if the recipient had held specified shares of common stock. Dividend equivalent rights may be granted as a component of another award (other than a stock option or stock appreciation right) or as a freestanding award. Dividend equivalent rights may be settled in cash, shares of common stock or a combination thereof, in a single installment or installments, as specified in the award. Restrictions on dividend equivalent rights granted as part of a restricted stock unit award or performance share award will only lapse when the restrictions on the corresponding award lapse.</w:t>
      </w:r>
    </w:p>
    <w:p>
      <w:pPr>
        <w:spacing w:after="0" w:line="158" w:lineRule="exact"/>
        <w:rPr>
          <w:sz w:val="20"/>
          <w:szCs w:val="20"/>
          <w:color w:val="auto"/>
        </w:rPr>
      </w:pPr>
    </w:p>
    <w:p>
      <w:pPr>
        <w:ind w:right="80" w:firstLine="342"/>
        <w:spacing w:after="0" w:line="255" w:lineRule="auto"/>
        <w:rPr>
          <w:sz w:val="20"/>
          <w:szCs w:val="20"/>
          <w:color w:val="auto"/>
        </w:rPr>
      </w:pPr>
      <w:r>
        <w:rPr>
          <w:rFonts w:ascii="Arial" w:cs="Arial" w:eastAsia="Arial" w:hAnsi="Arial"/>
          <w:sz w:val="18"/>
          <w:szCs w:val="18"/>
          <w:i w:val="1"/>
          <w:iCs w:val="1"/>
          <w:color w:val="auto"/>
        </w:rPr>
        <w:t>Sale Event Provisions</w:t>
      </w:r>
      <w:r>
        <w:rPr>
          <w:rFonts w:ascii="Arial" w:cs="Arial" w:eastAsia="Arial" w:hAnsi="Arial"/>
          <w:sz w:val="18"/>
          <w:szCs w:val="18"/>
          <w:color w:val="auto"/>
        </w:rPr>
        <w:t>. The Proposed 2014 Plan provides that, upon the effectiveness of a “sale event,” as defined in the Proposed 2014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2014 Plan and all awards thereunder will terminate, unless the parties to the sale event agree that such awards will be assumed or continued by the successor entity. Notwithstanding the foregoing and except as may be provided in the relevant award agreement, the Administrator may, in its discretion, accelerate the vesting of all outstanding awards with time-based and/or performance-based vesting conditions or restrictions immediately prior to their termination and/or make or provide for a payment, in cash or in kind, to the grantees holding awards in an amount equal to value of the awards as determined in the sole discretion of the Administrator.</w:t>
      </w:r>
    </w:p>
    <w:p>
      <w:pPr>
        <w:spacing w:after="0" w:line="193" w:lineRule="exact"/>
        <w:rPr>
          <w:sz w:val="20"/>
          <w:szCs w:val="20"/>
          <w:color w:val="auto"/>
        </w:rPr>
      </w:pPr>
    </w:p>
    <w:p>
      <w:pPr>
        <w:jc w:val="both"/>
        <w:ind w:right="40" w:firstLine="342"/>
        <w:spacing w:after="0" w:line="264" w:lineRule="auto"/>
        <w:rPr>
          <w:sz w:val="20"/>
          <w:szCs w:val="20"/>
          <w:color w:val="auto"/>
        </w:rPr>
      </w:pPr>
      <w:r>
        <w:rPr>
          <w:rFonts w:ascii="Arial" w:cs="Arial" w:eastAsia="Arial" w:hAnsi="Arial"/>
          <w:sz w:val="18"/>
          <w:szCs w:val="18"/>
          <w:i w:val="1"/>
          <w:iCs w:val="1"/>
          <w:color w:val="auto"/>
        </w:rPr>
        <w:t>Adjustments for Stock Dividends, Stock Splits, etc</w:t>
      </w:r>
      <w:r>
        <w:rPr>
          <w:rFonts w:ascii="Arial" w:cs="Arial" w:eastAsia="Arial" w:hAnsi="Arial"/>
          <w:sz w:val="18"/>
          <w:szCs w:val="18"/>
          <w:color w:val="auto"/>
        </w:rPr>
        <w:t>. The Proposed 2014 Plan requires the Administrator to make appropriate adjustments to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that are subject to the Proposed 2014 Plan, to certain limits in the Proposed 2014 Plan, and to any outstanding awards to reflect stock dividends, stock splits, extraordinary cash dividends and similar events.</w:t>
      </w:r>
    </w:p>
    <w:p>
      <w:pPr>
        <w:spacing w:after="0" w:line="181" w:lineRule="exact"/>
        <w:rPr>
          <w:sz w:val="20"/>
          <w:szCs w:val="20"/>
          <w:color w:val="auto"/>
        </w:rPr>
      </w:pPr>
    </w:p>
    <w:p>
      <w:pPr>
        <w:jc w:val="both"/>
        <w:ind w:firstLine="342"/>
        <w:spacing w:after="0" w:line="312" w:lineRule="auto"/>
        <w:rPr>
          <w:sz w:val="20"/>
          <w:szCs w:val="20"/>
          <w:color w:val="auto"/>
        </w:rPr>
      </w:pPr>
      <w:r>
        <w:rPr>
          <w:rFonts w:ascii="Arial" w:cs="Arial" w:eastAsia="Arial" w:hAnsi="Arial"/>
          <w:sz w:val="16"/>
          <w:szCs w:val="16"/>
          <w:i w:val="1"/>
          <w:iCs w:val="1"/>
          <w:color w:val="auto"/>
        </w:rPr>
        <w:t>Tax Withholding</w:t>
      </w:r>
      <w:r>
        <w:rPr>
          <w:rFonts w:ascii="Arial" w:cs="Arial" w:eastAsia="Arial" w:hAnsi="Arial"/>
          <w:sz w:val="16"/>
          <w:szCs w:val="16"/>
          <w:color w:val="auto"/>
        </w:rPr>
        <w:t>. Participants in the Proposed 2014 Plan are responsible for the payment of any federal, state or local taxes that we are required by law to</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 upon the exercise of options or stock appreciation rights or vesting of other awards. Subject to approval by the Administrator, participants may elect to have the tax withholding obligations satisfied by authorizing the Company to withhold shares of common stock to be issued pursuant to exercise or vesting.</w:t>
      </w:r>
    </w:p>
    <w:p>
      <w:pPr>
        <w:spacing w:after="0" w:line="79" w:lineRule="exact"/>
        <w:rPr>
          <w:sz w:val="20"/>
          <w:szCs w:val="20"/>
          <w:color w:val="auto"/>
        </w:rPr>
      </w:pPr>
    </w:p>
    <w:p>
      <w:pPr>
        <w:ind w:right="140" w:firstLine="342"/>
        <w:spacing w:after="0" w:line="297" w:lineRule="auto"/>
        <w:rPr>
          <w:sz w:val="20"/>
          <w:szCs w:val="20"/>
          <w:color w:val="auto"/>
        </w:rPr>
      </w:pPr>
      <w:r>
        <w:rPr>
          <w:rFonts w:ascii="Arial" w:cs="Arial" w:eastAsia="Arial" w:hAnsi="Arial"/>
          <w:sz w:val="16"/>
          <w:szCs w:val="16"/>
          <w:i w:val="1"/>
          <w:iCs w:val="1"/>
          <w:color w:val="auto"/>
        </w:rPr>
        <w:t>Amendments and Termination</w:t>
      </w:r>
      <w:r>
        <w:rPr>
          <w:rFonts w:ascii="Arial" w:cs="Arial" w:eastAsia="Arial" w:hAnsi="Arial"/>
          <w:sz w:val="16"/>
          <w:szCs w:val="16"/>
          <w:color w:val="auto"/>
        </w:rPr>
        <w:t>. The Board may at any time amend or discontinue the Proposed 2014 Plan and the Administrator may at any time amend</w:t>
      </w:r>
      <w:r>
        <w:rPr>
          <w:rFonts w:ascii="Arial" w:cs="Arial" w:eastAsia="Arial" w:hAnsi="Arial"/>
          <w:sz w:val="16"/>
          <w:szCs w:val="16"/>
          <w:i w:val="1"/>
          <w:iCs w:val="1"/>
          <w:color w:val="auto"/>
        </w:rPr>
        <w:t xml:space="preserve"> </w:t>
      </w:r>
      <w:r>
        <w:rPr>
          <w:rFonts w:ascii="Arial" w:cs="Arial" w:eastAsia="Arial" w:hAnsi="Arial"/>
          <w:sz w:val="16"/>
          <w:szCs w:val="16"/>
          <w:color w:val="auto"/>
        </w:rPr>
        <w:t>or cancel any outstanding award for the purpose of satisfying changes in the law or for any other lawful purpose. However, no such action may materially adversely affect any rights under any outstanding award without the holder’s consent. To the extent required under Nasdaq rules, any amendments that materially change the terms of the Proposed 2014 Plan will be subject to approval by our stockholders. Amendments shall also be subject to approval by our stockholders if and to the extent determined by the Administrator to be required by the Code to preserve the qualified status of incentive options.</w:t>
      </w:r>
    </w:p>
    <w:p>
      <w:pPr>
        <w:spacing w:after="0" w:line="158" w:lineRule="exact"/>
        <w:rPr>
          <w:sz w:val="20"/>
          <w:szCs w:val="20"/>
          <w:color w:val="auto"/>
        </w:rPr>
      </w:pPr>
    </w:p>
    <w:p>
      <w:pPr>
        <w:ind w:right="280" w:firstLine="342"/>
        <w:spacing w:after="0" w:line="264" w:lineRule="auto"/>
        <w:rPr>
          <w:sz w:val="20"/>
          <w:szCs w:val="20"/>
          <w:color w:val="auto"/>
        </w:rPr>
      </w:pPr>
      <w:r>
        <w:rPr>
          <w:rFonts w:ascii="Arial" w:cs="Arial" w:eastAsia="Arial" w:hAnsi="Arial"/>
          <w:sz w:val="18"/>
          <w:szCs w:val="18"/>
          <w:i w:val="1"/>
          <w:iCs w:val="1"/>
          <w:color w:val="auto"/>
        </w:rPr>
        <w:t>Effective Date of Proposed 2014 Plan</w:t>
      </w:r>
      <w:r>
        <w:rPr>
          <w:rFonts w:ascii="Arial" w:cs="Arial" w:eastAsia="Arial" w:hAnsi="Arial"/>
          <w:sz w:val="18"/>
          <w:szCs w:val="18"/>
          <w:color w:val="auto"/>
        </w:rPr>
        <w:t>. The Board adopted the Proposed 2014 Plan on March 29, 2018. It will become effective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at the Annual Meeting. No awards may be granted under the Proposed 2014 Plan after the date that is ten years from the date of stockholder approval.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21" w:lineRule="exact"/>
        <w:rPr>
          <w:sz w:val="20"/>
          <w:szCs w:val="20"/>
          <w:color w:val="auto"/>
        </w:rPr>
      </w:pPr>
    </w:p>
    <w:p>
      <w:pPr>
        <w:ind w:right="100" w:firstLine="342"/>
        <w:spacing w:after="0" w:line="255" w:lineRule="auto"/>
        <w:rPr>
          <w:sz w:val="20"/>
          <w:szCs w:val="20"/>
          <w:color w:val="auto"/>
        </w:rPr>
      </w:pPr>
      <w:r>
        <w:rPr>
          <w:rFonts w:ascii="Arial" w:cs="Arial" w:eastAsia="Arial" w:hAnsi="Arial"/>
          <w:sz w:val="18"/>
          <w:szCs w:val="18"/>
          <w:color w:val="auto"/>
        </w:rPr>
        <w:t>Because the grant of awards under the Proposed 2014 Plan is within the discretion of the Administrator, we cannot determine the dollar value or number of shares of common stock that will in the future be received by or allocated to any participant in the Proposed 2014 Plan. As of April 11, 2018, the closing price of a share of the Company’s common stock was $16.58. Following the adoption of the Proposed 2014 Plan in March 2018, the Company made certain grants from the Proposed 2014 Plan which were contingent upon receipt of stockholder approval at the Annual Meeting. The grants made subject to stockholder approval are summarized in the table below. If the Proposed 2014 Plan is not approved by the stockholders at the Annual Meeting, such grants will be forfeited.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3060" w:type="dxa"/>
            <w:vAlign w:val="bottom"/>
            <w:gridSpan w:val="2"/>
          </w:tcPr>
          <w:p>
            <w:pPr>
              <w:ind w:left="300"/>
              <w:spacing w:after="0"/>
              <w:rPr>
                <w:sz w:val="20"/>
                <w:szCs w:val="20"/>
                <w:color w:val="auto"/>
              </w:rPr>
            </w:pPr>
            <w:r>
              <w:rPr>
                <w:rFonts w:ascii="Arial" w:cs="Arial" w:eastAsia="Arial" w:hAnsi="Arial"/>
                <w:sz w:val="14"/>
                <w:szCs w:val="14"/>
                <w:b w:val="1"/>
                <w:bCs w:val="1"/>
                <w:color w:val="auto"/>
              </w:rPr>
              <w:t>Options</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 (#)</w:t>
            </w:r>
          </w:p>
        </w:tc>
        <w:tc>
          <w:tcPr>
            <w:tcW w:w="0" w:type="dxa"/>
            <w:vAlign w:val="bottom"/>
          </w:tcPr>
          <w:p>
            <w:pPr>
              <w:spacing w:after="0"/>
              <w:rPr>
                <w:sz w:val="1"/>
                <w:szCs w:val="1"/>
                <w:color w:val="auto"/>
              </w:rPr>
            </w:pPr>
          </w:p>
        </w:tc>
      </w:tr>
      <w:tr>
        <w:trPr>
          <w:trHeight w:val="171"/>
        </w:trPr>
        <w:tc>
          <w:tcPr>
            <w:tcW w:w="7640" w:type="dxa"/>
            <w:vAlign w:val="bottom"/>
            <w:gridSpan w:val="2"/>
            <w:vMerge w:val="continue"/>
          </w:tcPr>
          <w:p>
            <w:pPr>
              <w:spacing w:after="0"/>
              <w:rPr>
                <w:sz w:val="14"/>
                <w:szCs w:val="14"/>
                <w:color w:val="auto"/>
              </w:rPr>
            </w:pPr>
          </w:p>
        </w:tc>
        <w:tc>
          <w:tcPr>
            <w:tcW w:w="3060" w:type="dxa"/>
            <w:vAlign w:val="bottom"/>
            <w:gridSpan w:val="2"/>
          </w:tcPr>
          <w:p>
            <w:pPr>
              <w:jc w:val="right"/>
              <w:ind w:right="1980"/>
              <w:spacing w:after="0"/>
              <w:rPr>
                <w:sz w:val="20"/>
                <w:szCs w:val="20"/>
                <w:color w:val="auto"/>
              </w:rPr>
            </w:pPr>
            <w:r>
              <w:rPr>
                <w:rFonts w:ascii="Arial" w:cs="Arial" w:eastAsia="Arial" w:hAnsi="Arial"/>
                <w:sz w:val="14"/>
                <w:szCs w:val="14"/>
                <w:b w:val="1"/>
                <w:bCs w:val="1"/>
                <w:color w:val="auto"/>
                <w:w w:val="90"/>
              </w:rPr>
              <w:t xml:space="preserve">Exercise 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Gaurav Shah</w:t>
            </w:r>
          </w:p>
        </w:tc>
        <w:tc>
          <w:tcPr>
            <w:tcW w:w="10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9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Aspects under the Code</w:t>
      </w:r>
    </w:p>
    <w:p>
      <w:pPr>
        <w:spacing w:after="0" w:line="121" w:lineRule="exact"/>
        <w:rPr>
          <w:sz w:val="20"/>
          <w:szCs w:val="20"/>
          <w:color w:val="auto"/>
        </w:rPr>
      </w:pPr>
    </w:p>
    <w:p>
      <w:pPr>
        <w:ind w:right="80" w:firstLine="342"/>
        <w:spacing w:after="0" w:line="264" w:lineRule="auto"/>
        <w:rPr>
          <w:sz w:val="20"/>
          <w:szCs w:val="20"/>
          <w:color w:val="auto"/>
        </w:rPr>
      </w:pPr>
      <w:r>
        <w:rPr>
          <w:rFonts w:ascii="Arial" w:cs="Arial" w:eastAsia="Arial" w:hAnsi="Arial"/>
          <w:sz w:val="18"/>
          <w:szCs w:val="18"/>
          <w:color w:val="auto"/>
        </w:rPr>
        <w:t>The following is a summary of the principal federal income tax consequences of certain transactions under the Proposed 2014 Plan as of the date hereof. It does not describe all federal tax consequences under the Proposed 2014 Plan, nor does it describe state or local tax consequences or non-U.S. tax consequences.</w:t>
      </w:r>
    </w:p>
    <w:p>
      <w:pPr>
        <w:spacing w:after="0" w:line="181" w:lineRule="exact"/>
        <w:rPr>
          <w:sz w:val="20"/>
          <w:szCs w:val="20"/>
          <w:color w:val="auto"/>
        </w:rPr>
      </w:pPr>
    </w:p>
    <w:p>
      <w:pPr>
        <w:ind w:right="40" w:firstLine="342"/>
        <w:spacing w:after="0" w:line="255" w:lineRule="auto"/>
        <w:rPr>
          <w:sz w:val="20"/>
          <w:szCs w:val="20"/>
          <w:color w:val="auto"/>
        </w:rPr>
      </w:pPr>
      <w:r>
        <w:rPr>
          <w:rFonts w:ascii="Arial" w:cs="Arial" w:eastAsia="Arial" w:hAnsi="Arial"/>
          <w:sz w:val="18"/>
          <w:szCs w:val="18"/>
          <w:i w:val="1"/>
          <w:iCs w:val="1"/>
          <w:color w:val="auto"/>
        </w:rPr>
        <w:t>Incentive Options</w:t>
      </w:r>
      <w:r>
        <w:rPr>
          <w:rFonts w:ascii="Arial" w:cs="Arial" w:eastAsia="Arial" w:hAnsi="Arial"/>
          <w:sz w:val="18"/>
          <w:szCs w:val="18"/>
          <w:color w:val="auto"/>
        </w:rPr>
        <w:t>. No taxable income is generally realized by the optionee upon the grant or exercise of an incentive option. If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issued to an optionee pursuant to the exercise of an incentive option are sold or transferred after two years from the date of grant and after one year from the date of exercise, then (i) upon sale of such shares, any amount realized in excess of the option price (the amount paid for the shares) will be taxed to the optionee as a long-term capital gain, and any loss sustained will be a long-term capital loss, and (ii) the Company will not be entitled to any deduction for federal income tax purposes. The exercise of an incentive option will give rise to an item of tax preference that may result in alternative minimum tax liability for the optionee.</w:t>
      </w:r>
    </w:p>
    <w:p>
      <w:pPr>
        <w:spacing w:after="0" w:line="193" w:lineRule="exact"/>
        <w:rPr>
          <w:sz w:val="20"/>
          <w:szCs w:val="20"/>
          <w:color w:val="auto"/>
        </w:rPr>
      </w:pPr>
    </w:p>
    <w:p>
      <w:pPr>
        <w:ind w:right="20" w:firstLine="342"/>
        <w:spacing w:after="0" w:line="257" w:lineRule="auto"/>
        <w:rPr>
          <w:sz w:val="20"/>
          <w:szCs w:val="20"/>
          <w:color w:val="auto"/>
        </w:rPr>
      </w:pPr>
      <w:r>
        <w:rPr>
          <w:rFonts w:ascii="Arial" w:cs="Arial" w:eastAsia="Arial" w:hAnsi="Arial"/>
          <w:sz w:val="18"/>
          <w:szCs w:val="18"/>
          <w:color w:val="auto"/>
        </w:rPr>
        <w:t>If shares of common stock acquired upon the exercise of an incentive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the Company will be entitled to deduct such amount. Special rules apply where all or a portion of the exercise price of the incentive option is paid by tendering shares of common stock.</w:t>
      </w:r>
    </w:p>
    <w:p>
      <w:pPr>
        <w:spacing w:after="0" w:line="188" w:lineRule="exact"/>
        <w:rPr>
          <w:sz w:val="20"/>
          <w:szCs w:val="20"/>
          <w:color w:val="auto"/>
        </w:rPr>
      </w:pPr>
    </w:p>
    <w:p>
      <w:pPr>
        <w:ind w:right="20" w:firstLine="342"/>
        <w:spacing w:after="0" w:line="259" w:lineRule="auto"/>
        <w:rPr>
          <w:sz w:val="20"/>
          <w:szCs w:val="20"/>
          <w:color w:val="auto"/>
        </w:rPr>
      </w:pPr>
      <w:r>
        <w:rPr>
          <w:rFonts w:ascii="Arial" w:cs="Arial" w:eastAsia="Arial" w:hAnsi="Arial"/>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87" w:lineRule="exact"/>
        <w:rPr>
          <w:sz w:val="20"/>
          <w:szCs w:val="20"/>
          <w:color w:val="auto"/>
        </w:rPr>
      </w:pPr>
    </w:p>
    <w:p>
      <w:pPr>
        <w:ind w:right="140" w:firstLine="342"/>
        <w:spacing w:after="0" w:line="273" w:lineRule="auto"/>
        <w:rPr>
          <w:sz w:val="20"/>
          <w:szCs w:val="20"/>
          <w:color w:val="auto"/>
        </w:rPr>
      </w:pPr>
      <w:r>
        <w:rPr>
          <w:rFonts w:ascii="Arial" w:cs="Arial" w:eastAsia="Arial" w:hAnsi="Arial"/>
          <w:sz w:val="17"/>
          <w:szCs w:val="17"/>
          <w:i w:val="1"/>
          <w:iCs w:val="1"/>
          <w:color w:val="auto"/>
        </w:rPr>
        <w:t>Non-Qualified Options</w:t>
      </w:r>
      <w:r>
        <w:rPr>
          <w:rFonts w:ascii="Arial" w:cs="Arial" w:eastAsia="Arial" w:hAnsi="Arial"/>
          <w:sz w:val="17"/>
          <w:szCs w:val="17"/>
          <w:color w:val="auto"/>
        </w:rPr>
        <w:t>. No income is realized by the optionee at the time the option is granted. Generally, (i) at exercise, ordinary income is realized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optionee in an amount equal to the difference between the option price and the fair market value of the shares of common stock on the date of exercise, and the Company receives a tax deduction for the same amount, and (ii) at disposition, appreciation or depreciation after the date of exercise is treated as either short-term or long-term capital gain or loss depending on how long the shares of common stock have been held. Special rules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78" w:lineRule="exact"/>
        <w:rPr>
          <w:sz w:val="20"/>
          <w:szCs w:val="20"/>
          <w:color w:val="auto"/>
        </w:rPr>
      </w:pPr>
    </w:p>
    <w:p>
      <w:pPr>
        <w:ind w:right="80" w:firstLine="342"/>
        <w:spacing w:after="0" w:line="277" w:lineRule="auto"/>
        <w:rPr>
          <w:sz w:val="20"/>
          <w:szCs w:val="20"/>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Company generally will be entitled to a tax deduction in connection with an award under the Proposed 2014 Plan in an amount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ordinary income realized by the participant at the time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participant recognizes such income. Participants typically are subject to income tax and recognize such tax at the time that an award is exercised, vests or becomes non-forfeitable, unless the award provides for a further deferral.</w:t>
      </w:r>
    </w:p>
    <w:p>
      <w:pPr>
        <w:spacing w:after="0" w:line="170" w:lineRule="exact"/>
        <w:rPr>
          <w:sz w:val="20"/>
          <w:szCs w:val="20"/>
          <w:color w:val="auto"/>
        </w:rPr>
      </w:pPr>
    </w:p>
    <w:p>
      <w:pPr>
        <w:jc w:val="both"/>
        <w:ind w:right="180" w:firstLine="342"/>
        <w:spacing w:after="0" w:line="279" w:lineRule="auto"/>
        <w:rPr>
          <w:sz w:val="20"/>
          <w:szCs w:val="20"/>
          <w:color w:val="auto"/>
        </w:rPr>
      </w:pPr>
      <w:r>
        <w:rPr>
          <w:rFonts w:ascii="Arial" w:cs="Arial" w:eastAsia="Arial" w:hAnsi="Arial"/>
          <w:sz w:val="17"/>
          <w:szCs w:val="17"/>
          <w:i w:val="1"/>
          <w:iCs w:val="1"/>
          <w:color w:val="auto"/>
        </w:rPr>
        <w:t>Parachute Payments</w:t>
      </w:r>
      <w:r>
        <w:rPr>
          <w:rFonts w:ascii="Arial" w:cs="Arial" w:eastAsia="Arial" w:hAnsi="Arial"/>
          <w:sz w:val="17"/>
          <w:szCs w:val="17"/>
          <w:color w:val="auto"/>
        </w:rPr>
        <w:t>. The vesting of any portion of an option or other award that is accelerated due to the occurrence of a change in control (such as a</w:t>
      </w:r>
      <w:r>
        <w:rPr>
          <w:rFonts w:ascii="Arial" w:cs="Arial" w:eastAsia="Arial" w:hAnsi="Arial"/>
          <w:sz w:val="17"/>
          <w:szCs w:val="17"/>
          <w:i w:val="1"/>
          <w:iCs w:val="1"/>
          <w:color w:val="auto"/>
        </w:rPr>
        <w:t xml:space="preserve"> </w:t>
      </w:r>
      <w:r>
        <w:rPr>
          <w:rFonts w:ascii="Arial" w:cs="Arial" w:eastAsia="Arial" w:hAnsi="Arial"/>
          <w:sz w:val="17"/>
          <w:szCs w:val="17"/>
          <w:color w:val="auto"/>
        </w:rPr>
        <w:t>sale 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Limitation on Deductions</w:t>
      </w:r>
      <w:r>
        <w:rPr>
          <w:rFonts w:ascii="Arial" w:cs="Arial" w:eastAsia="Arial" w:hAnsi="Arial"/>
          <w:sz w:val="16"/>
          <w:szCs w:val="16"/>
          <w:color w:val="auto"/>
        </w:rPr>
        <w:t>. Section 162(m) of the Code limits a publicly traded company’s federal income tax deduction for compensation in excess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 million paid to its Chief Executive Officer, Chief Financial Officer and the next three highest-paid executive officers. Prior to the Tax Cuts and Jobs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was signed into law on December 22, 2017, compensation that satisfied conditions set forth under Section 162(m) to qualify as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was not subject to the limitation, and the limitation did not apply to compensation paid to the Chief Financial Officer. The Tax Cuts and Jobs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eliminates the performance-based compensation exception beginning January 1, 2018, but provides a transition rule with respect to remuneration which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provided pursuant to a written binding contract which was in effect on November 2, 2017 and which was not materially modified after that date.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intends to administer any awards granted under the Original Plan prior to November 2, 2017 which qualify as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under Section 162(m), as amended by the Tax Cuts and Jobs Act, including equity awards and other forms of compensation granted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Original Plan that qualify as performance-based compensation, in accordance with the transition rules applicable to binding contracts in effect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 2017. With the elimination of the exemption for performance-based compensation, we expect that we will be unable to deduct all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excess of $1 million paid to our Chief Executive Officer, Chief Financial Officer and the next three highest-paid executive officers, other than previously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 awards that are subject to the transition rules.</w:t>
      </w:r>
    </w:p>
    <w:p>
      <w:pPr>
        <w:spacing w:after="0" w:line="211" w:lineRule="exact"/>
        <w:rPr>
          <w:sz w:val="20"/>
          <w:szCs w:val="20"/>
          <w:color w:val="auto"/>
        </w:rPr>
      </w:pPr>
    </w:p>
    <w:p>
      <w:pPr>
        <w:jc w:val="both"/>
        <w:ind w:right="120" w:firstLine="342"/>
        <w:spacing w:after="0" w:line="312" w:lineRule="auto"/>
        <w:rPr>
          <w:sz w:val="20"/>
          <w:szCs w:val="20"/>
          <w:color w:val="auto"/>
        </w:rPr>
      </w:pPr>
      <w:r>
        <w:rPr>
          <w:rFonts w:ascii="Arial" w:cs="Arial" w:eastAsia="Arial" w:hAnsi="Arial"/>
          <w:sz w:val="16"/>
          <w:szCs w:val="16"/>
          <w:color w:val="auto"/>
        </w:rPr>
        <w:t>The foregoing is only a summary of the effects of the U.S. federal income taxation upon participants and the Company with respect to awards under the Proposed 2014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affirmative vote of the majority of the votes cast for or against the proposal at the Annual Meeting by holders of shares present in person or represented by proxy and entitled to vote on the proposal is required for the approval of the Second Amended and Restated 2014 Stock Option and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Recommendation</w:t>
      </w:r>
    </w:p>
    <w:p>
      <w:pPr>
        <w:spacing w:after="0" w:line="11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BOARD RECOMMENDS A VOTE “FOR” THE APPROVAL OF THE SECOND AMENDED AND RESTATED 2014 STOCK OPTION AND INCENTIVE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Rocket Pharmaceuticals, Ltd.</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the Reverse Merger was not completed until January 4, 2018, the following discussion of executive compensation relates to our pre-Reverse Merger named executive officers during the fiscal year ended December 31, 2017—David P. Southwell, Dr. Rudolf Baumgartner and Dale Ritter—and the decisions and considerations of the Inotek Compensation Committee. Unless the context otherwise requires, all references in this “</w:t>
      </w:r>
      <w:r>
        <w:rPr>
          <w:rFonts w:ascii="Arial" w:cs="Arial" w:eastAsia="Arial" w:hAnsi="Arial"/>
          <w:sz w:val="16"/>
          <w:szCs w:val="16"/>
          <w:i w:val="1"/>
          <w:iCs w:val="1"/>
          <w:color w:val="auto"/>
        </w:rPr>
        <w:t>Executive Compensation</w:t>
      </w:r>
      <w:r>
        <w:rPr>
          <w:rFonts w:ascii="Arial" w:cs="Arial" w:eastAsia="Arial" w:hAnsi="Arial"/>
          <w:sz w:val="16"/>
          <w:szCs w:val="16"/>
          <w:color w:val="auto"/>
        </w:rPr>
        <w:t>” section to the Compensation Committee refer to the Inotek Compensation Committee. Our current Board, including the Compensation Committee thereof, is currently considering what changes, if any, will be made to the Company’s executive compensation policies for the year ending December 31,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(“NEOs”) that is attributable to services performed during the fiscal years ended December 31, 2017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Bonus</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(3)</w:t>
            </w:r>
          </w:p>
        </w:tc>
        <w:tc>
          <w:tcPr>
            <w:tcW w:w="2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(4)</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(6)</w:t>
            </w: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David P. Southwell</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479,454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239,862(1)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533,750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1,267,082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260"/>
              <w:spacing w:after="0" w:line="201" w:lineRule="exact"/>
              <w:rPr>
                <w:sz w:val="20"/>
                <w:szCs w:val="20"/>
                <w:color w:val="auto"/>
              </w:rPr>
            </w:pPr>
            <w:r>
              <w:rPr>
                <w:rFonts w:ascii="Arial" w:cs="Arial" w:eastAsia="Arial" w:hAnsi="Arial"/>
                <w:sz w:val="18"/>
                <w:szCs w:val="18"/>
                <w:i w:val="1"/>
                <w:iCs w:val="1"/>
                <w:color w:val="auto"/>
              </w:rPr>
              <w:t>Former President and</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220" w:type="dxa"/>
            <w:vAlign w:val="bottom"/>
            <w:gridSpan w:val="2"/>
          </w:tcPr>
          <w:p>
            <w:pPr>
              <w:ind w:left="260"/>
              <w:spacing w:after="0"/>
              <w:rPr>
                <w:sz w:val="20"/>
                <w:szCs w:val="20"/>
                <w:color w:val="auto"/>
              </w:rPr>
            </w:pPr>
            <w:r>
              <w:rPr>
                <w:rFonts w:ascii="Arial" w:cs="Arial" w:eastAsia="Arial" w:hAnsi="Arial"/>
                <w:sz w:val="18"/>
                <w:szCs w:val="18"/>
                <w:i w:val="1"/>
                <w:iCs w:val="1"/>
                <w:color w:val="auto"/>
              </w:rPr>
              <w:t>Chief Executive Officer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465,508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221,231(2)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1,093,470</w:t>
            </w:r>
          </w:p>
        </w:tc>
        <w:tc>
          <w:tcPr>
            <w:tcW w:w="28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2,275,000</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5,273</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4,060,482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Rudolf Baumgartner, M.D.</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404,872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141,785(1)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266,875</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260"/>
              <w:spacing w:after="0" w:line="201" w:lineRule="exact"/>
              <w:rPr>
                <w:sz w:val="20"/>
                <w:szCs w:val="20"/>
                <w:color w:val="auto"/>
              </w:rPr>
            </w:pPr>
            <w:r>
              <w:rPr>
                <w:rFonts w:ascii="Arial" w:cs="Arial" w:eastAsia="Arial" w:hAnsi="Arial"/>
                <w:sz w:val="18"/>
                <w:szCs w:val="18"/>
                <w:i w:val="1"/>
                <w:iCs w:val="1"/>
                <w:color w:val="auto"/>
              </w:rPr>
              <w:t>Former Executive Vice</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260"/>
              <w:spacing w:after="0"/>
              <w:rPr>
                <w:sz w:val="20"/>
                <w:szCs w:val="20"/>
                <w:color w:val="auto"/>
              </w:rPr>
            </w:pPr>
            <w:r>
              <w:rPr>
                <w:rFonts w:ascii="Arial" w:cs="Arial" w:eastAsia="Arial" w:hAnsi="Arial"/>
                <w:sz w:val="18"/>
                <w:szCs w:val="18"/>
                <w:i w:val="1"/>
                <w:iCs w:val="1"/>
                <w:color w:val="auto"/>
              </w:rPr>
              <w:t>President and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20" w:type="dxa"/>
            <w:vAlign w:val="bottom"/>
            <w:gridSpan w:val="2"/>
          </w:tcPr>
          <w:p>
            <w:pPr>
              <w:ind w:left="440"/>
              <w:spacing w:after="0"/>
              <w:rPr>
                <w:sz w:val="20"/>
                <w:szCs w:val="20"/>
                <w:color w:val="auto"/>
              </w:rPr>
            </w:pPr>
            <w:r>
              <w:rPr>
                <w:rFonts w:ascii="Arial" w:cs="Arial" w:eastAsia="Arial" w:hAnsi="Arial"/>
                <w:sz w:val="18"/>
                <w:szCs w:val="18"/>
                <w:i w:val="1"/>
                <w:iCs w:val="1"/>
                <w:color w:val="auto"/>
              </w:rPr>
              <w:t>Chief Medical Officer</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393,095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144,538(2)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839,175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780,000</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9,761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2,166,569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Ritter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282,304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84,739(1)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85,000</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260"/>
              <w:spacing w:after="0" w:line="201" w:lineRule="exact"/>
              <w:rPr>
                <w:sz w:val="20"/>
                <w:szCs w:val="20"/>
                <w:color w:val="auto"/>
              </w:rPr>
            </w:pPr>
            <w:r>
              <w:rPr>
                <w:rFonts w:ascii="Arial" w:cs="Arial" w:eastAsia="Arial" w:hAnsi="Arial"/>
                <w:sz w:val="18"/>
                <w:szCs w:val="18"/>
                <w:i w:val="1"/>
                <w:iCs w:val="1"/>
                <w:color w:val="auto"/>
              </w:rPr>
              <w:t>Former Vice President-</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220" w:type="dxa"/>
            <w:vAlign w:val="bottom"/>
            <w:gridSpan w:val="2"/>
          </w:tcPr>
          <w:p>
            <w:pPr>
              <w:ind w:left="260"/>
              <w:spacing w:after="0"/>
              <w:rPr>
                <w:sz w:val="20"/>
                <w:szCs w:val="20"/>
                <w:color w:val="auto"/>
              </w:rPr>
            </w:pPr>
            <w:r>
              <w:rPr>
                <w:rFonts w:ascii="Arial" w:cs="Arial" w:eastAsia="Arial" w:hAnsi="Arial"/>
                <w:sz w:val="18"/>
                <w:szCs w:val="18"/>
                <w:i w:val="1"/>
                <w:iCs w:val="1"/>
                <w:color w:val="auto"/>
              </w:rPr>
              <w:t>Finance</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274,093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86,384(2)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203,436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11,367</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575,280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00" w:hanging="452"/>
        <w:spacing w:after="0" w:line="25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bonus amounts accrued at December 31, 2017 as annual bonuses, but paid in 2018 as retention bonuses upon consummation of the Reverse Merger.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bonus amounts earned in 2016 and paid in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grant date fair value of option awards calculated in accordance with ASC Topic 718.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grant date fair value of stock awards calculated in accordance with ASC Topic 718.</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restricted stock units (“RSUs”) granted in December 2016 and subsequently modified in January 2017. Amounts reflect the fair value of the modified RSUs as of the date of modification.</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table includes details regarding the values reported in the All Other Compensation column for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Insurance</w:t>
            </w:r>
          </w:p>
        </w:tc>
        <w:tc>
          <w:tcPr>
            <w:tcW w:w="18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3"/>
              </w:rPr>
              <w:t>Retirement Plan</w:t>
            </w:r>
          </w:p>
        </w:tc>
        <w:tc>
          <w:tcPr>
            <w:tcW w:w="146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3"/>
              </w:rPr>
              <w:t>Disability</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1"/>
              </w:rPr>
              <w:t>Premiums</w:t>
            </w:r>
          </w:p>
        </w:tc>
        <w:tc>
          <w:tcPr>
            <w:tcW w:w="18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$(1)</w:t>
            </w:r>
          </w:p>
        </w:tc>
        <w:tc>
          <w:tcPr>
            <w:tcW w:w="8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$(2)</w:t>
            </w:r>
          </w:p>
        </w:tc>
        <w:tc>
          <w:tcPr>
            <w:tcW w:w="8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$(3)</w:t>
            </w:r>
          </w:p>
        </w:tc>
        <w:tc>
          <w:tcPr>
            <w:tcW w:w="880" w:type="dxa"/>
            <w:vAlign w:val="bottom"/>
          </w:tcPr>
          <w:p>
            <w:pPr>
              <w:spacing w:after="0"/>
              <w:rPr>
                <w:sz w:val="14"/>
                <w:szCs w:val="14"/>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P. Southwell</w:t>
            </w:r>
          </w:p>
        </w:tc>
        <w:tc>
          <w:tcPr>
            <w:tcW w:w="1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10,800</w:t>
            </w:r>
          </w:p>
        </w:tc>
        <w:tc>
          <w:tcPr>
            <w:tcW w:w="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1,926</w:t>
            </w:r>
          </w:p>
        </w:tc>
        <w:tc>
          <w:tcPr>
            <w:tcW w:w="8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Rudolf Baumgartner, M.D.</w:t>
            </w: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1,290</w:t>
            </w:r>
          </w:p>
        </w:tc>
        <w:tc>
          <w:tcPr>
            <w:tcW w:w="1880" w:type="dxa"/>
            <w:vAlign w:val="bottom"/>
            <w:gridSpan w:val="2"/>
          </w:tcPr>
          <w:p>
            <w:pPr>
              <w:ind w:left="520"/>
              <w:spacing w:after="0"/>
              <w:rPr>
                <w:sz w:val="20"/>
                <w:szCs w:val="20"/>
                <w:color w:val="auto"/>
              </w:rPr>
            </w:pPr>
            <w:r>
              <w:rPr>
                <w:rFonts w:ascii="Arial" w:cs="Arial" w:eastAsia="Arial" w:hAnsi="Arial"/>
                <w:sz w:val="18"/>
                <w:szCs w:val="18"/>
                <w:color w:val="auto"/>
              </w:rPr>
              <w:t>10,800</w:t>
            </w:r>
          </w:p>
        </w:tc>
        <w:tc>
          <w:tcPr>
            <w:tcW w:w="1460" w:type="dxa"/>
            <w:vAlign w:val="bottom"/>
            <w:gridSpan w:val="2"/>
          </w:tcPr>
          <w:p>
            <w:pPr>
              <w:ind w:left="180"/>
              <w:spacing w:after="0"/>
              <w:rPr>
                <w:sz w:val="20"/>
                <w:szCs w:val="20"/>
                <w:color w:val="auto"/>
              </w:rPr>
            </w:pPr>
            <w:r>
              <w:rPr>
                <w:rFonts w:ascii="Arial" w:cs="Arial" w:eastAsia="Arial" w:hAnsi="Arial"/>
                <w:sz w:val="18"/>
                <w:szCs w:val="18"/>
                <w:color w:val="auto"/>
              </w:rPr>
              <w:t>1,926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14,016</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Ritter</w:t>
            </w:r>
          </w:p>
        </w:tc>
        <w:tc>
          <w:tcPr>
            <w:tcW w:w="17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3,010</w:t>
            </w:r>
          </w:p>
        </w:tc>
        <w:tc>
          <w:tcPr>
            <w:tcW w:w="1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10,330</w:t>
            </w: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1,835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15,175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premiums paid on behalf of our NEOs under our group term life insurance policy.</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Company matching contributions to the accounts of our NEOs in the Company’s 401(k)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premiums paid on behalf of our NEOs under our disability insurance policy.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Agreements; Termination and Change of Control Benefits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At the time of their employment, Mr. Southwell, Dr. Baumgartner and Mr. Ritter were each a party to an employment agreement with the Company. Upon consummation of the Reverse Merger, the employment of Mr. Southwell and Dr. Baumgartner terminated. On March 16, 2018, the employment of Mr. Ritter terminated. These employment agreements provided for “at will” employment and contained the additional terms summarized below:</w:t>
      </w:r>
    </w:p>
    <w:p>
      <w:pPr>
        <w:spacing w:after="0" w:line="166" w:lineRule="exact"/>
        <w:rPr>
          <w:sz w:val="20"/>
          <w:szCs w:val="20"/>
          <w:color w:val="auto"/>
        </w:rPr>
      </w:pPr>
    </w:p>
    <w:p>
      <w:pPr>
        <w:ind w:right="40" w:firstLine="799"/>
        <w:spacing w:after="0" w:line="283" w:lineRule="auto"/>
        <w:rPr>
          <w:sz w:val="20"/>
          <w:szCs w:val="20"/>
          <w:color w:val="auto"/>
        </w:rPr>
      </w:pPr>
      <w:r>
        <w:rPr>
          <w:rFonts w:ascii="Arial" w:cs="Arial" w:eastAsia="Arial" w:hAnsi="Arial"/>
          <w:sz w:val="16"/>
          <w:szCs w:val="16"/>
          <w:b w:val="1"/>
          <w:bCs w:val="1"/>
          <w:i w:val="1"/>
          <w:iCs w:val="1"/>
          <w:color w:val="auto"/>
        </w:rPr>
        <w:t>David P. Southwell</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11, 2014, we entered into an employment agreement with Mr. Southwell, as amended on September 1,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which he served as our President and Chief Executive Officer. In 2017, Mr. Southwell received a base salary of $479,454. In 2017, Mr. Southwell was eligible for an annual performance bonus with a target amount of 50% of his base salary. For 2017, the Compensation Committee awarded Mr. Southwell a retention bonus of $239,862, representing 50% of his 2017 base salary, in exchange for his continued active employment in a full-time capacity through the effective time of the Reverse Merger. While employed, Mr. Southwell was eligible to participate in our employee benefit plans in effect from time to time, subject to the terms of those plans. Subject to the execution and effectiveness of a separation agreement, including, among other things, a general release of claims, Mr. Southwell would have been eligible to receive the following payments and benefits in the event that his employment had been terminated by us without cause or by him for good reason as of the last day of the fiscal year, in either case not in connection with a change in control: base salary continuation for 12 months; if Mr. Southwell was participating in our group health plan immediately prior to the date of termination and elected COBRA health continuation, a monthly cash payment equal to the monthly employer contribution we would have made to provide him health insurance if he had remained employed by us until twelve months following the date of termination; and the portion of the stock options and other time-based equity awards held by</w:t>
      </w:r>
    </w:p>
    <w:p>
      <w:pPr>
        <w:spacing w:after="0" w:line="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Mr. Southwell as of the date of termination that would have vested in the 12 months following termination of his employment had he remained employed by us through such date would have immediately accelerated and become fully vested as of the date of termination. Subject to the execution and effectiveness of a separation agreement, including, among other things, a general release of claims, Mr. Southwell would have been eligible to receive the following payments and benefits in the event that his employment had terminated by us without cause or by him for good reason as of the last day of the fiscal year, in either case in connection with a change in control: a severance payment equal to 18 months of base salary and, if Mr. Southwell was participating in our group health plan immediately prior to the date of termination and elected COBRA health continuation, a monthly cash payment equal to the monthly employer contribution we would have made to provide him health insurance if he had remained employed by us until 18 months following the date of termination. In connection with the consummation of the Reverse Merger and his termination of employment, Mr. Southwell became entitled to the foregoing change in control severance benefits and all of his outstanding equity awards were accelerated.</w:t>
      </w:r>
    </w:p>
    <w:p>
      <w:pPr>
        <w:spacing w:after="0" w:line="182"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b w:val="1"/>
          <w:bCs w:val="1"/>
          <w:i w:val="1"/>
          <w:iCs w:val="1"/>
          <w:color w:val="auto"/>
        </w:rPr>
        <w:t xml:space="preserve">Rudolf Baumgartner, M.D. </w:t>
      </w:r>
      <w:r>
        <w:rPr>
          <w:rFonts w:ascii="Arial" w:cs="Arial" w:eastAsia="Arial" w:hAnsi="Arial"/>
          <w:sz w:val="17"/>
          <w:szCs w:val="17"/>
          <w:color w:val="auto"/>
        </w:rPr>
        <w:t>On May 2, 2007, we entered into an employment agreement with Dr. Baumgartner, our Executive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Medical Officer, which we amended on December 23, 2008, October 9, 2009 and September 12, 2017. In 2017, Dr. Baumgartner received a base salary of $404,872. In 2017, Dr. Baumgartner was eligible for an annual performance bonus with a target amount of 35% of his base salary. For 2017, the Compensation Committee awarded Dr. Baumgartner a retention bonus of $141,785, representing 35% of his 2017 base salary, in exchange for his continued active employment in a full-time capacity through the effective time of the Reverse Merger. Dr. Baumgartner was eligible to participate in our employee benefit plans in effect from time to time, subject to the terms of those plans. Subject to the execution and effectiveness of a separation agreement, including, among other things, a general release of claims, Dr. Baumgartner would have been eligible to receive the following payments and benefits in the event that his employment had been terminated by us without cause or by him for good reason as of the last day of the fiscal year: base salary continuation for twelve months; a monthly cash payment equal to the monthly employer contribution to provide him health and dental insurance coverage if he had remained employed by us until 12 months following the date of termination; and accelerated vesting of all outstanding equity awards. In connection with the consummation of the Reverse Merger and his termination of employment, Dr. Baumgartner became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entitled to the foregoing severance benefits and all of his outstanding equity awards were accelerated. The receipt of the severance payments and benefits set forth above are conditioned upon Dr. Baumgartner not violating the terms of a restrictive covenant agreement between Dr. Baumgartner and Inotek.</w:t>
      </w:r>
    </w:p>
    <w:p>
      <w:pPr>
        <w:spacing w:after="0" w:line="124"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b w:val="1"/>
          <w:bCs w:val="1"/>
          <w:i w:val="1"/>
          <w:iCs w:val="1"/>
          <w:color w:val="auto"/>
        </w:rPr>
        <w:t xml:space="preserve">Dale Ritter. </w:t>
      </w:r>
      <w:r>
        <w:rPr>
          <w:rFonts w:ascii="Arial" w:cs="Arial" w:eastAsia="Arial" w:hAnsi="Arial"/>
          <w:sz w:val="16"/>
          <w:szCs w:val="16"/>
          <w:color w:val="auto"/>
        </w:rPr>
        <w:t>On August 28, 2014, we entered into an employment agreement with Mr. Ritter, our Vice President-Finance, as amended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1, 2017. In 2017, Mr. Ritter received an annual base salary of $282,304. Mr. Ritter was eligible for an annual performance bonus with a target amount of 30% of his annualized base salary. In 2017, the Compensation Committee awarded Mr. Ritter a retention bonus of $84,739, representing 30% of his 2017 base salary, in exchange for his continued active employment in a full-time capacity through the effective time of the Reverse Merger. Mr. Ritter was eligible to participate in our employee benefit plans in effect from time to time, subject to the terms of those plans. Subject to the execution and effectiveness of a separation agreement, including, among other things, a general release of claims, Mr. Ritter would have been eligible to receive base salary continuation for six months, payment of the employer contribution for group health coverage for up to six months and accelerated vesting of all outstanding equity awards in the event that his employment had been terminated by us without cause or by him for good reason as of the last day of the fiscal year. In connection with the consummation of the Reverse Merger and his subsequent termination of employment, Mr. Ritter became entitled to the foregoing severance benefits and all of his outstanding equity awards were accelerated. The receipt of the severance payments and benefits set forth above is conditioned upon Mr. Ritter not violating the terms of a restrictive covenant agreement between Mr. Ritter and Inotek.</w:t>
      </w:r>
    </w:p>
    <w:p>
      <w:pPr>
        <w:spacing w:after="0" w:line="173"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Effective as of January 4, 2018, Gaurav Shah is the principal executive officer of the Company. We expect that the proxy statement for the fiscal year ended December 31, 2018 will include executive compensation disclosure regarding Dr. Shah and our next two most highly compensated executive officers as of fiscal year end, as well as executive compensation disclosure for David P. Southwell, our former principal executive officer, since he served as Chief Executive Officer until January 4, 2018.</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provides information concerning outstanding equity awards for each of our named executive officers as of December 31, 2017. All share numbers and prices have been adjusted to reflect the Stock Split. All of the below unvested equity awards became fully vested upon consummation of the Reverse Merger.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640" w:type="dxa"/>
            <w:vAlign w:val="bottom"/>
          </w:tcPr>
          <w:p>
            <w:pPr>
              <w:spacing w:after="0"/>
              <w:rPr>
                <w:sz w:val="10"/>
                <w:szCs w:val="10"/>
                <w:color w:val="auto"/>
              </w:rPr>
            </w:pPr>
          </w:p>
        </w:tc>
        <w:tc>
          <w:tcPr>
            <w:tcW w:w="86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Number of</w:t>
            </w: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Market value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6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62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Per share</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6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of securities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6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vMerge w:val="continue"/>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6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that have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options</w:t>
            </w:r>
          </w:p>
        </w:tc>
        <w:tc>
          <w:tcPr>
            <w:tcW w:w="6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expiration</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that have</w:t>
            </w:r>
          </w:p>
        </w:tc>
        <w:tc>
          <w:tcPr>
            <w:tcW w:w="64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not vested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64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unexercisable</w:t>
            </w:r>
          </w:p>
        </w:tc>
        <w:tc>
          <w:tcPr>
            <w:tcW w:w="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date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not vested</w:t>
            </w:r>
          </w:p>
        </w:tc>
        <w:tc>
          <w:tcPr>
            <w:tcW w:w="6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P. Southwell</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83,020</w:t>
            </w:r>
          </w:p>
        </w:tc>
        <w:tc>
          <w:tcPr>
            <w:tcW w:w="660" w:type="dxa"/>
            <w:vAlign w:val="bottom"/>
            <w:tcBorders>
              <w:top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0"/>
              </w:rPr>
              <w:t>(1)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08/28/24</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26,562</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w w:val="99"/>
              </w:rPr>
              <w:t>(2)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10,937</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w w:val="90"/>
              </w:rPr>
              <w:t>(2)</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20.12</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06/23/25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27,995</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0"/>
              </w:rPr>
              <w:t>(3)</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03/21/26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65,625</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w w:val="99"/>
              </w:rPr>
              <w:t>(5)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685,125</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87,500</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Rudolf Baumgartner,</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40" w:type="dxa"/>
            <w:vAlign w:val="bottom"/>
            <w:gridSpan w:val="2"/>
          </w:tcPr>
          <w:p>
            <w:pPr>
              <w:spacing w:after="0"/>
              <w:rPr>
                <w:sz w:val="20"/>
                <w:szCs w:val="20"/>
                <w:color w:val="auto"/>
              </w:rPr>
            </w:pPr>
            <w:r>
              <w:rPr>
                <w:rFonts w:ascii="Arial" w:cs="Arial" w:eastAsia="Arial" w:hAnsi="Arial"/>
                <w:sz w:val="18"/>
                <w:szCs w:val="18"/>
                <w:color w:val="auto"/>
              </w:rPr>
              <w:t>M.D.</w:t>
            </w:r>
          </w:p>
        </w:tc>
        <w:tc>
          <w:tcPr>
            <w:tcW w:w="1380" w:type="dxa"/>
            <w:vAlign w:val="bottom"/>
            <w:gridSpan w:val="3"/>
          </w:tcPr>
          <w:p>
            <w:pPr>
              <w:jc w:val="right"/>
              <w:ind w:right="310"/>
              <w:spacing w:after="0"/>
              <w:rPr>
                <w:sz w:val="20"/>
                <w:szCs w:val="20"/>
                <w:color w:val="auto"/>
              </w:rPr>
            </w:pPr>
            <w:r>
              <w:rPr>
                <w:rFonts w:ascii="Arial" w:cs="Arial" w:eastAsia="Arial" w:hAnsi="Arial"/>
                <w:sz w:val="18"/>
                <w:szCs w:val="18"/>
                <w:color w:val="auto"/>
              </w:rPr>
              <w:t>49 (4)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162.312</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03/20/18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41,510</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8,302</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0"/>
              </w:rPr>
              <w:t>(1)</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17.368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08/28/24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13,278</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w w:val="99"/>
              </w:rPr>
              <w:t>(2)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5,471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w w:val="90"/>
              </w:rPr>
              <w:t>(2)</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20.12</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06/23/25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19,764</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21,485</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0"/>
              </w:rPr>
              <w:t>(3)</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03/21/26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22,500</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w w:val="99"/>
              </w:rPr>
              <w:t>(5)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234,900</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43,750</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456,750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16"/>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Dale Ritter</w:t>
            </w:r>
          </w:p>
        </w:tc>
        <w:tc>
          <w:tcPr>
            <w:tcW w:w="1380" w:type="dxa"/>
            <w:vAlign w:val="bottom"/>
            <w:gridSpan w:val="3"/>
          </w:tcPr>
          <w:p>
            <w:pPr>
              <w:jc w:val="right"/>
              <w:ind w:right="310"/>
              <w:spacing w:after="0"/>
              <w:rPr>
                <w:sz w:val="20"/>
                <w:szCs w:val="20"/>
                <w:color w:val="auto"/>
              </w:rPr>
            </w:pPr>
            <w:r>
              <w:rPr>
                <w:rFonts w:ascii="Arial" w:cs="Arial" w:eastAsia="Arial" w:hAnsi="Arial"/>
                <w:sz w:val="18"/>
                <w:szCs w:val="18"/>
                <w:color w:val="auto"/>
              </w:rPr>
              <w:t>9,160 (1)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1,834</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w w:val="90"/>
              </w:rPr>
              <w:t>(1)</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17.368</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08/28/24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0"/>
              </w:rPr>
              <w:t>(2)</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06/23/25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4,790</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w w:val="99"/>
              </w:rPr>
              <w:t>(3)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5,209</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w w:val="90"/>
              </w:rPr>
              <w:t>(3)</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30.24</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03/21/26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9,375</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8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stock options were granted pursuant to our 2014 Stock Option and Incentive Plan (the “2014 Plan”) on August 28, 2014, have a ten-year term and vested 25% on the one-year anniversary of the grant date and the remaining 75% were subject to equal monthly vesting over the following 36 monthly anniversaries.</w:t>
      </w:r>
    </w:p>
    <w:p>
      <w:pPr>
        <w:ind w:left="460" w:right="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stock options were granted pursuant to our 2014 Plan on June 24, 2015, have a ten-year term, and vested 25% on the one-year anniversary of our IPO and the remaining 75% were subject to equal monthly vesting over the following 36 monthly anniversaries.</w:t>
      </w:r>
    </w:p>
    <w:p>
      <w:pPr>
        <w:ind w:left="460" w:right="4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stock options were granted pursuant to our 2014 Plan on March 22, 2016, have a ten-year term, and vested 25% on January 1, 2017 and the remaining 75% were subject to equal monthly vesting over the following 36 monthly anniversaries.</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stock options were granted pursuant to our 2004 Stock Option and Incentive Plan (the “2004 Plan”) and are fully vested.</w:t>
      </w:r>
    </w:p>
    <w:p>
      <w:pPr>
        <w:spacing w:after="0" w:line="9"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These restricted stock units were granted pursuant to our 2014 Plan on December 13, 2016, and were amended on January 23, 2017 to modify their vesting schedule. In early January 2017, after Inotek’s failure to meet the primary endpoint in its first pivotal Phase 3 trial of </w:t>
      </w:r>
      <w:r>
        <w:rPr>
          <w:rFonts w:ascii="Arial" w:cs="Arial" w:eastAsia="Arial" w:hAnsi="Arial"/>
          <w:sz w:val="17"/>
          <w:szCs w:val="17"/>
          <w:i w:val="1"/>
          <w:iCs w:val="1"/>
          <w:color w:val="auto"/>
        </w:rPr>
        <w:t>trabodenoson</w:t>
      </w:r>
      <w:r>
        <w:rPr>
          <w:rFonts w:ascii="Arial" w:cs="Arial" w:eastAsia="Arial" w:hAnsi="Arial"/>
          <w:sz w:val="17"/>
          <w:szCs w:val="17"/>
          <w:color w:val="auto"/>
        </w:rPr>
        <w:t xml:space="preserve"> monotherapy, the Inotek Board had determined that Inotek’s new corporate strategy should be to identify and pursue a strategic merger that would likely result in a change of control. As a result of this determination, the Inotek Board concluded that it would be in the best interest of Inotek to modify the vesting schedule of these restricted stock units to a time-based metric, in order to enable Inotek to retain Mr. Southwell and Mr. Baumgartner during the execution of this new corporate strategy. The restricted stock units were modified such that, instead of vesting subject to the achievement of certain performance criteria, the awards were subject to vesting in equal annual installments over four years from the date of grant, subject to the named executive officer’s continued service through such each date. For Mr. Southwell and Dr. Baumgartner, the awards that vested remained unsettled at December 31, 2017, per the terms of the Restricted Stock Unit Agreements. The vested awards settled on March 15, 2018, per the terms of the Restricted Stock Unit Agreements.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the restricted stock units reflected in the table is based on a price per share of $10.44, which was the closing price of our common stock as of December 30, 2017.</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restricted stock units were granted pursuant to our 2014 Plan on January 23, 2017. The awards were subject to vesting 25% per year over four years, on the anniversary of the grant date.</w:t>
      </w:r>
    </w:p>
    <w:p>
      <w:pPr>
        <w:ind w:left="460" w:right="28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restricted stock units were granted pursuant to our 2014 Plan on January 17, 2017. The awards were subject to vesting 25% every six months over two years, on the six-month anniversary of the grant date.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the total compensation for each person who served as a member of our Board during 2017. Other than as set forth in the table, we did not pay any compensation, make any equity awards or non-equity awards to, or pay any other compensation to any of the non-employee members of our Board in 2017. David P. Southwell, our former President and Chief Executive Officer, received no compensation for his service as a director during 2017, and, consequently, is not included in this table.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share numbers and prices have been adjusted to reflect the Stock Split.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w:t>
      </w:r>
    </w:p>
    <w:p>
      <w:pPr>
        <w:spacing w:after="0" w:line="117" w:lineRule="exact"/>
        <w:rPr>
          <w:sz w:val="20"/>
          <w:szCs w:val="20"/>
          <w:color w:val="auto"/>
        </w:rPr>
      </w:pPr>
    </w:p>
    <w:p>
      <w:pPr>
        <w:ind w:firstLine="799"/>
        <w:spacing w:after="0" w:line="284" w:lineRule="auto"/>
        <w:rPr>
          <w:sz w:val="20"/>
          <w:szCs w:val="20"/>
          <w:color w:val="auto"/>
        </w:rPr>
      </w:pPr>
      <w:r>
        <w:rPr>
          <w:rFonts w:ascii="Arial" w:cs="Arial" w:eastAsia="Arial" w:hAnsi="Arial"/>
          <w:sz w:val="16"/>
          <w:szCs w:val="16"/>
          <w:color w:val="auto"/>
        </w:rPr>
        <w:t>The Company adopted a non-employee director compensation policy that became effective upon the Company’s IPO in February 2015. The purpose of this policy is to provide a total compensation package that enables the Company to attract and retain, on a long-term basis, high-caliber directors who are not employees or officers of the Company. During 2017, for service on the board of directors, annual cash retainers were paid as follows: for board members, $50,000, for the chairperson, $92,850. This policy was amended in March 2018 such that in 2018, for service on the Board, annual cash retainers of $35,000 will be paid for Board members, excluding the chairperson. The chairperson will not receive an annual cash retainer for his service. In addition to cash retainers for service on the Board, cash retainers are paid for service on committees of the board of directors. For service on the Audit Committee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2017 and 2018, annual cash retainers are paid as follows: for committee members, $7,500, for the chairperson, $15,000. For service on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in 2017 and 2018, annual cash retainers are paid as follows: for committee members, $5,000, for the chairperson, $10,000. For service on the</w:t>
      </w:r>
    </w:p>
    <w:p>
      <w:pPr>
        <w:spacing w:after="0" w:line="3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Nominating and Corporate Governance Committee in 2017, annual cash retainers were paid as follows: for committee members, $3,000, for the chairperson, $7,500. For service on the Nominating and Corporate Governance Committee in 2018, annual cash retainers will be paid as follows: for committee members, $4,000, for the chairperson, $8,000.</w:t>
      </w:r>
    </w:p>
    <w:p>
      <w:pPr>
        <w:spacing w:after="0" w:line="190"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In addition, each new non-employee director upon his/her election to the Board will receive a one-time option grant to purchase shares of the Company’s common stock in such amount and on such terms as authorized by the Board, or by a committee appointed by the Board, subject to periodic review. Following completion of the Reverse Merger, based on a competitive market review of peer companies performed by F.W. Cook and our compensation philosophy, the Board authorized, to each non-employee director excluding the chairperson, a one-time option grant to purchase 40,000 shares of the Company’s common stock, and, to the chairperson, a one-time option grant to purchase 47,000 shares of the Company’s common stock. Beginning in 2019, on the date of each annual meeting of stockholders of the Company, an annual option will be granted to each non-employee director serving on the Board immediately following the Company’s annual meeting of stockholders to purchase shares of common stock in such amount and on such terms as authorized by the Board, or by a committee appointed by the Board, subject to periodic review. Following the completion of the Reverse Merger, based on the competitive market review performed by F.W. Cook and our compensation philosophy, the Board authorized, to each non-employee director excluding the chairperson, an annual option grant to purchase 20,000 shares of the Company’s common stock, and, to the chairperson, an annual option grant to purchase 27,000 shares of the Company’s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All of the foregoing option grants will have an exercise price equal to the fair market value of a share of common stock on the date of grant.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Director Compensation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1"/>
              </w:rPr>
              <w:t>Fees</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8"/>
              </w:rPr>
              <w:t>All other</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 name</w:t>
            </w: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earned</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28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6"/>
              </w:rPr>
              <w:t>$(1)</w:t>
            </w:r>
          </w:p>
        </w:tc>
        <w:tc>
          <w:tcPr>
            <w:tcW w:w="700" w:type="dxa"/>
            <w:vAlign w:val="bottom"/>
          </w:tcPr>
          <w:p>
            <w:pPr>
              <w:spacing w:after="0"/>
              <w:rPr>
                <w:sz w:val="14"/>
                <w:szCs w:val="14"/>
                <w:color w:val="auto"/>
              </w:rPr>
            </w:pPr>
          </w:p>
        </w:tc>
        <w:tc>
          <w:tcPr>
            <w:tcW w:w="5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Timothy Barberich</w:t>
            </w:r>
          </w:p>
        </w:tc>
        <w:tc>
          <w:tcPr>
            <w:tcW w:w="6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60,000</w:t>
            </w: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64,304</w:t>
            </w:r>
          </w:p>
        </w:tc>
        <w:tc>
          <w:tcPr>
            <w:tcW w:w="3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w:t>
            </w:r>
          </w:p>
        </w:tc>
        <w:tc>
          <w:tcPr>
            <w:tcW w:w="8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124,304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80"/>
              <w:spacing w:after="0"/>
              <w:rPr>
                <w:sz w:val="20"/>
                <w:szCs w:val="20"/>
                <w:color w:val="auto"/>
              </w:rPr>
            </w:pPr>
            <w:r>
              <w:rPr>
                <w:rFonts w:ascii="Arial" w:cs="Arial" w:eastAsia="Arial" w:hAnsi="Arial"/>
                <w:sz w:val="18"/>
                <w:szCs w:val="18"/>
                <w:color w:val="auto"/>
              </w:rPr>
              <w:t>Carsten Boess</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68,000</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64,304</w:t>
            </w: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132,304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 Martin Carroll</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92,850</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64,304</w:t>
            </w:r>
          </w:p>
        </w:tc>
        <w:tc>
          <w:tcPr>
            <w:tcW w:w="12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157,154</w:t>
            </w:r>
          </w:p>
        </w:tc>
        <w:tc>
          <w:tcPr>
            <w:tcW w:w="0" w:type="dxa"/>
            <w:vAlign w:val="bottom"/>
          </w:tcPr>
          <w:p>
            <w:pPr>
              <w:spacing w:after="0"/>
              <w:rPr>
                <w:sz w:val="1"/>
                <w:szCs w:val="1"/>
                <w:color w:val="auto"/>
              </w:rPr>
            </w:pPr>
          </w:p>
        </w:tc>
      </w:tr>
      <w:tr>
        <w:trPr>
          <w:trHeight w:val="216"/>
        </w:trPr>
        <w:tc>
          <w:tcPr>
            <w:tcW w:w="5740" w:type="dxa"/>
            <w:vAlign w:val="bottom"/>
            <w:gridSpan w:val="2"/>
          </w:tcPr>
          <w:p>
            <w:pPr>
              <w:ind w:left="80"/>
              <w:spacing w:after="0"/>
              <w:rPr>
                <w:sz w:val="20"/>
                <w:szCs w:val="20"/>
                <w:color w:val="auto"/>
              </w:rPr>
            </w:pPr>
            <w:r>
              <w:rPr>
                <w:rFonts w:ascii="Arial" w:cs="Arial" w:eastAsia="Arial" w:hAnsi="Arial"/>
                <w:sz w:val="18"/>
                <w:szCs w:val="18"/>
                <w:color w:val="auto"/>
              </w:rPr>
              <w:t>Paul G. Howes</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57,500</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64,304</w:t>
            </w: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121,804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Patrick Machado</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57,500</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64,304</w:t>
            </w:r>
          </w:p>
        </w:tc>
        <w:tc>
          <w:tcPr>
            <w:tcW w:w="12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121,804</w:t>
            </w:r>
          </w:p>
        </w:tc>
        <w:tc>
          <w:tcPr>
            <w:tcW w:w="0" w:type="dxa"/>
            <w:vAlign w:val="bottom"/>
          </w:tcPr>
          <w:p>
            <w:pPr>
              <w:spacing w:after="0"/>
              <w:rPr>
                <w:sz w:val="1"/>
                <w:szCs w:val="1"/>
                <w:color w:val="auto"/>
              </w:rPr>
            </w:pPr>
          </w:p>
        </w:tc>
      </w:tr>
      <w:tr>
        <w:trPr>
          <w:trHeight w:val="216"/>
        </w:trPr>
        <w:tc>
          <w:tcPr>
            <w:tcW w:w="5740" w:type="dxa"/>
            <w:vAlign w:val="bottom"/>
            <w:gridSpan w:val="2"/>
          </w:tcPr>
          <w:p>
            <w:pPr>
              <w:ind w:left="80"/>
              <w:spacing w:after="0"/>
              <w:rPr>
                <w:sz w:val="20"/>
                <w:szCs w:val="20"/>
                <w:color w:val="auto"/>
              </w:rPr>
            </w:pPr>
            <w:r>
              <w:rPr>
                <w:rFonts w:ascii="Arial" w:cs="Arial" w:eastAsia="Arial" w:hAnsi="Arial"/>
                <w:sz w:val="18"/>
                <w:szCs w:val="18"/>
                <w:color w:val="auto"/>
              </w:rPr>
              <w:t>Gary Phillips, M.D.</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55,000</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64,304</w:t>
            </w: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(2)</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119,304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Richard N. Spivey, PharmD, PhD</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62,500</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64,304</w:t>
            </w:r>
          </w:p>
        </w:tc>
        <w:tc>
          <w:tcPr>
            <w:tcW w:w="12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126,804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fees earned in 2017, a portion of which were paid in 2018.</w:t>
      </w:r>
    </w:p>
    <w:p>
      <w:pPr>
        <w:spacing w:after="0" w:line="23"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grant date fair value of an option to purchase 11,250 shares of our common stock granted to each then-current non-employee director on June 20, 2017, with an exercise price of $7.20 per share.</w:t>
      </w:r>
    </w:p>
    <w:p>
      <w:pPr>
        <w:spacing w:after="0" w:line="157" w:lineRule="exact"/>
        <w:rPr>
          <w:sz w:val="20"/>
          <w:szCs w:val="20"/>
          <w:color w:val="auto"/>
        </w:rPr>
      </w:pPr>
    </w:p>
    <w:p>
      <w:pPr>
        <w:ind w:right="740" w:firstLine="799"/>
        <w:spacing w:after="0" w:line="342" w:lineRule="auto"/>
        <w:rPr>
          <w:sz w:val="20"/>
          <w:szCs w:val="20"/>
          <w:color w:val="auto"/>
        </w:rPr>
      </w:pPr>
      <w:r>
        <w:rPr>
          <w:rFonts w:ascii="Arial" w:cs="Arial" w:eastAsia="Arial" w:hAnsi="Arial"/>
          <w:sz w:val="16"/>
          <w:szCs w:val="16"/>
          <w:color w:val="auto"/>
        </w:rPr>
        <w:t>As of December 31, 2017, Board members held options to purchase the following number of shares: 17,250 shares for Mr. Barberich and Mr. Machado; 20,250 shares for Mr. Boess, Dr. Phillips and Dr. Spivey; 33,000 shares for Mr. Carroll; and 19,714 shares for Mr. Howes.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adopted a written Related Person Transaction Policy, which requires that all related person transactions are reviewed and approved by our Audit Committee. This review covers any material transaction, arrangement or relationship, or any series of similar transactions, arrangements or relationships, in which we were or are to be a participant, and a related person had or will have a direct or indirect material interest, including, purchases of goods or services by or from the related person or entities in which the related person has a material interest, indebtedness, guarantees of indebtedness and employment by us of a related person. A “related person” is any person who is or was one of our executive officers, directors or director nominees or is a holder of more than 5% of our common stock, or their immediate family members or any entity owned or controlled by any of the foregoing persons.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Related-Person Transactions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Other than compensation arrangements with directors and executive officers, which are described where required under “Executive Compensation— Executive Agreements” and “Director Compensation,” we have no other related-party transactions that are subject to disclosure in accordance with our policies and procedures for related party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April 2, 2018 for:</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our capital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named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other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 person is deemed to be a beneficial holder of our common stock if that person has or shares voting power, which includes the power to vote or direct the voting of our common stock, or investment power, which includes the power to dispose of or to direct the disposition of such capital stock.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table lists applicable percentage ownership based on 39,435,148 shares of common stock outstanding as of April 2, 2018. Shares of common stock that may be acquired by an individual or group within 60 days of April 2, 2018, pursuant to the exercise of options, warrants or other rights, are deemed to be beneficially owned by the persons holding these options for the purpose of computing percentage ownership of that person, but are not treated as outstanding for the purpose of computing any other person’s ownership percentage.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Unless otherwise noted below, the address of each person listed on the table is c/o Rocket Pharmaceuticals, Inc., 430 East 29</w:t>
      </w:r>
      <w:r>
        <w:rPr>
          <w:rFonts w:ascii="Arial" w:cs="Arial" w:eastAsia="Arial" w:hAnsi="Arial"/>
          <w:sz w:val="15"/>
          <w:szCs w:val="15"/>
          <w:color w:val="auto"/>
        </w:rPr>
        <w:t>th</w:t>
      </w:r>
      <w:r>
        <w:rPr>
          <w:rFonts w:ascii="Arial" w:cs="Arial" w:eastAsia="Arial" w:hAnsi="Arial"/>
          <w:sz w:val="18"/>
          <w:szCs w:val="18"/>
          <w:color w:val="auto"/>
        </w:rPr>
        <w:t xml:space="preserve"> Street, Suite 1040, New York, NY, 10016.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7"/>
              </w:rPr>
              <w:t>Number of</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Shares</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7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40" w:type="dxa"/>
            <w:vAlign w:val="bottom"/>
            <w:gridSpan w:val="2"/>
            <w:vMerge w:val="continue"/>
          </w:tcPr>
          <w:p>
            <w:pPr>
              <w:spacing w:after="0"/>
              <w:rPr>
                <w:sz w:val="14"/>
                <w:szCs w:val="14"/>
                <w:color w:val="auto"/>
              </w:rPr>
            </w:pPr>
          </w:p>
        </w:tc>
        <w:tc>
          <w:tcPr>
            <w:tcW w:w="18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Owned</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r>
        <w:trPr>
          <w:trHeight w:val="210"/>
        </w:trPr>
        <w:tc>
          <w:tcPr>
            <w:tcW w:w="7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9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RTW Investments, LP (1)</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250 West 55th Street, 16th Floor, Suite A</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New York, NY 10019</w:t>
            </w:r>
          </w:p>
        </w:tc>
        <w:tc>
          <w:tcPr>
            <w:tcW w:w="1840" w:type="dxa"/>
            <w:vAlign w:val="bottom"/>
            <w:gridSpan w:val="2"/>
          </w:tcPr>
          <w:p>
            <w:pPr>
              <w:jc w:val="right"/>
              <w:ind w:right="960"/>
              <w:spacing w:after="0"/>
              <w:rPr>
                <w:sz w:val="20"/>
                <w:szCs w:val="20"/>
                <w:color w:val="auto"/>
              </w:rPr>
            </w:pPr>
            <w:r>
              <w:rPr>
                <w:rFonts w:ascii="Arial" w:cs="Arial" w:eastAsia="Arial" w:hAnsi="Arial"/>
                <w:sz w:val="18"/>
                <w:szCs w:val="18"/>
                <w:color w:val="auto"/>
                <w:w w:val="95"/>
              </w:rPr>
              <w:t>15,439,577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02"/>
        </w:trPr>
        <w:tc>
          <w:tcPr>
            <w:tcW w:w="79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Tang Capital Partners, LP (2)</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4747 Executive Drive, Suite 510</w:t>
            </w: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San Diego, CA 92121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2,665,485</w:t>
            </w:r>
          </w:p>
        </w:tc>
        <w:tc>
          <w:tcPr>
            <w:tcW w:w="9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David P. Southwell (3)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382,534</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Rudolf Baumgartner, M.D. (4)</w:t>
            </w:r>
          </w:p>
        </w:tc>
        <w:tc>
          <w:tcPr>
            <w:tcW w:w="880" w:type="dxa"/>
            <w:vAlign w:val="bottom"/>
          </w:tcPr>
          <w:p>
            <w:pPr>
              <w:jc w:val="right"/>
              <w:spacing w:after="0"/>
              <w:rPr>
                <w:sz w:val="20"/>
                <w:szCs w:val="20"/>
                <w:color w:val="auto"/>
              </w:rPr>
            </w:pPr>
            <w:r>
              <w:rPr>
                <w:rFonts w:ascii="Arial" w:cs="Arial" w:eastAsia="Arial" w:hAnsi="Arial"/>
                <w:sz w:val="18"/>
                <w:szCs w:val="18"/>
                <w:color w:val="auto"/>
              </w:rPr>
              <w:t>217,609</w:t>
            </w:r>
          </w:p>
        </w:tc>
        <w:tc>
          <w:tcPr>
            <w:tcW w:w="9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Dale Ritter (5)</w:t>
            </w:r>
          </w:p>
        </w:tc>
        <w:tc>
          <w:tcPr>
            <w:tcW w:w="18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41,554</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Carsten Boess (6)</w:t>
            </w:r>
          </w:p>
        </w:tc>
        <w:tc>
          <w:tcPr>
            <w:tcW w:w="1840" w:type="dxa"/>
            <w:vAlign w:val="bottom"/>
            <w:gridSpan w:val="2"/>
          </w:tcPr>
          <w:p>
            <w:pPr>
              <w:jc w:val="right"/>
              <w:ind w:right="960"/>
              <w:spacing w:after="0"/>
              <w:rPr>
                <w:sz w:val="20"/>
                <w:szCs w:val="20"/>
                <w:color w:val="auto"/>
              </w:rPr>
            </w:pPr>
            <w:r>
              <w:rPr>
                <w:rFonts w:ascii="Arial" w:cs="Arial" w:eastAsia="Arial" w:hAnsi="Arial"/>
                <w:sz w:val="18"/>
                <w:szCs w:val="18"/>
                <w:color w:val="auto"/>
              </w:rPr>
              <w:t>20,250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Pedro Granadillo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Gotham Makker, M.D. (7)</w:t>
            </w:r>
          </w:p>
        </w:tc>
        <w:tc>
          <w:tcPr>
            <w:tcW w:w="880" w:type="dxa"/>
            <w:vAlign w:val="bottom"/>
          </w:tcPr>
          <w:p>
            <w:pPr>
              <w:jc w:val="right"/>
              <w:spacing w:after="0"/>
              <w:rPr>
                <w:sz w:val="20"/>
                <w:szCs w:val="20"/>
                <w:color w:val="auto"/>
              </w:rPr>
            </w:pPr>
            <w:r>
              <w:rPr>
                <w:rFonts w:ascii="Arial" w:cs="Arial" w:eastAsia="Arial" w:hAnsi="Arial"/>
                <w:sz w:val="18"/>
                <w:szCs w:val="18"/>
                <w:color w:val="auto"/>
              </w:rPr>
              <w:t>1,331,406</w:t>
            </w:r>
          </w:p>
        </w:tc>
        <w:tc>
          <w:tcPr>
            <w:tcW w:w="9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Gaurav Shah, M.D.(8)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1,098,892</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Roderick Wong, M.D. (1)</w:t>
            </w:r>
          </w:p>
        </w:tc>
        <w:tc>
          <w:tcPr>
            <w:tcW w:w="1840" w:type="dxa"/>
            <w:vAlign w:val="bottom"/>
            <w:gridSpan w:val="2"/>
          </w:tcPr>
          <w:p>
            <w:pPr>
              <w:jc w:val="right"/>
              <w:ind w:right="960"/>
              <w:spacing w:after="0"/>
              <w:rPr>
                <w:sz w:val="20"/>
                <w:szCs w:val="20"/>
                <w:color w:val="auto"/>
              </w:rPr>
            </w:pPr>
            <w:r>
              <w:rPr>
                <w:rFonts w:ascii="Arial" w:cs="Arial" w:eastAsia="Arial" w:hAnsi="Arial"/>
                <w:sz w:val="18"/>
                <w:szCs w:val="18"/>
                <w:color w:val="auto"/>
                <w:w w:val="95"/>
              </w:rPr>
              <w:t>15,439,577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Naveen Yalamanchi, M.D. (9)</w:t>
            </w:r>
          </w:p>
        </w:tc>
        <w:tc>
          <w:tcPr>
            <w:tcW w:w="18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114,278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(10 persons) (10)</w:t>
            </w:r>
          </w:p>
        </w:tc>
        <w:tc>
          <w:tcPr>
            <w:tcW w:w="18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w w:val="95"/>
              </w:rPr>
              <w:t>18,799,477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47.67%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right="22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Schedule 13D, jointly filed by RTW Investments, LP (“RTW”) and Roderick Wong with the SEC on January 16, 2018. Roderick Wong is a control person of RTW and Chairman of the Board.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71"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Schedule 13G, jointly filed by Tang Capital Partners, LP, Tang Capital Management, LLC and Kevin C. Tang with the SEC on January 16, 2018. Tang Capital Partners, LP shares voting and dispositive power over such shares with Tang Capital Management, LLC and Kevin Tang. Mr. Tang disclaims beneficial ownership of all shares reported therein except to the extent of his pecuniary interest therein.</w:t>
      </w:r>
    </w:p>
    <w:p>
      <w:pPr>
        <w:ind w:left="460" w:right="18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(i) 16,660 shares of common stock, (ii) 190,874 shares of common stock issuable upon the exercise of options exercisable within 60 days after April 2, 2018 and (iii) 175,000 restricted stock units that are fully vested. Mr. Southwell ceased being an executive officer on January 4, 2018.</w:t>
      </w:r>
    </w:p>
    <w:p>
      <w:pPr>
        <w:spacing w:after="0" w:line="1" w:lineRule="exact"/>
        <w:rPr>
          <w:rFonts w:ascii="Arial" w:cs="Arial" w:eastAsia="Arial" w:hAnsi="Arial"/>
          <w:sz w:val="16"/>
          <w:szCs w:val="16"/>
          <w:color w:val="auto"/>
        </w:rPr>
      </w:pPr>
    </w:p>
    <w:p>
      <w:pPr>
        <w:jc w:val="both"/>
        <w:ind w:left="460" w:right="18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(i) 34,047 shares of common stock, (ii) 109,812 shares of common stock issuable upon the exercise of options exercisable within 60 days after April 2, 2018 and (iii) 73,750 restricted stock units that are fully vested. Dr. Baumgartner ceased being an executive officer on January 4, 2018.</w:t>
      </w:r>
    </w:p>
    <w:p>
      <w:pPr>
        <w:spacing w:after="0" w:line="1" w:lineRule="exact"/>
        <w:rPr>
          <w:rFonts w:ascii="Arial" w:cs="Arial" w:eastAsia="Arial" w:hAnsi="Arial"/>
          <w:sz w:val="16"/>
          <w:szCs w:val="16"/>
          <w:color w:val="auto"/>
        </w:rPr>
      </w:pPr>
    </w:p>
    <w:p>
      <w:pPr>
        <w:ind w:left="460" w:hanging="452"/>
        <w:spacing w:after="0" w:line="265"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Consists of (i) 4,956 shares of common stock, (ii) 27,223 shares of common stock issuable upon the exercise of options exercisable within 60 days after April 2, 2018 and (iii) 9,375 restricted stock units that are fully vested. Mr. Ritter ceased being an executive officer on January 4, 2018.</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(i) 20,250 shares of common stock issuable upon the exercise of options exercisable within 60 days after April 2, 2018.</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(i) 1,331,406 shares of common stock held by Simran Investment Group. Dr. Makker exercises voting and dispositive control over the securities held by Simran Investment Group and is therefore deemed be the beneficial owner of securities owned or controlled by Simran Investment Group.</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(i) 761,850 shares of common stock and (ii) 337,042 shares of common stock issuable upon the exercise of options exercisable within 60 days after April 2, 2018.</w:t>
      </w:r>
    </w:p>
    <w:p>
      <w:pPr>
        <w:jc w:val="both"/>
        <w:ind w:left="460" w:right="30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(i) 114,278 shares owned by the Naveen Yalamanchi Revocable Living Trust, February 9, 2016, of which Dr. Yalamanchi is the trustee. Dr. Yalamanchi has a pecuniary interest in RTW, but the beneficial ownership of Dr. Yalamanchi in the table above does not reflect such ownership. Dr. Yalamanchi has no voting or dispositive power over the shares held by RTW.</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only current directors and executive officers serving in such capacity on the date of the table. Consists of the shares and stock options held by Mr. Southwell, Mr. Boess, Mr. Granadillo, Dr. Makker, Dr. Shah, Dr. Wong, and Dr. Yalamanchi and shares and stock options held by current executive officers of the Company not referenced in the table.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our common stock, to report to the SEC their initial ownership of our common stock and any subsequent changes in that ownership. Specific due dates for these reports have been established by the SEC, and we are required to disclose in this proxy statement any late filings or failures to file. Based solely on our review of the copies of such reports furnished to us and written representations that no other reports were required during the fiscal year ended December 31, 2017, all Section 16(a) filing requirements for our most recent fiscal year were satisfied.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80" w:firstLine="685"/>
        <w:spacing w:after="0" w:line="264" w:lineRule="auto"/>
        <w:rPr>
          <w:sz w:val="20"/>
          <w:szCs w:val="20"/>
          <w:color w:val="auto"/>
        </w:rPr>
      </w:pPr>
      <w:r>
        <w:rPr>
          <w:rFonts w:ascii="Arial" w:cs="Arial" w:eastAsia="Arial" w:hAnsi="Arial"/>
          <w:sz w:val="18"/>
          <w:szCs w:val="18"/>
          <w:color w:val="auto"/>
        </w:rPr>
        <w:t>The following sets forth the aggregate information of the Company’s equity compensation plans in effect as of December 31, 2017. The Company’s equity plans consist of the 2014 Plan, the 2004 Stock Option and Incentive Plan (the “2004 Plan”), and the 2014 Amended and Restated Employee Stock Purchase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100" w:type="dxa"/>
            <w:vAlign w:val="bottom"/>
          </w:tcPr>
          <w:p>
            <w:pPr>
              <w:spacing w:after="0"/>
              <w:rPr>
                <w:sz w:val="12"/>
                <w:szCs w:val="12"/>
                <w:color w:val="auto"/>
              </w:rPr>
            </w:pPr>
          </w:p>
        </w:tc>
        <w:tc>
          <w:tcPr>
            <w:tcW w:w="192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19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9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price of</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options,</w:t>
            </w:r>
          </w:p>
        </w:tc>
        <w:tc>
          <w:tcPr>
            <w:tcW w:w="100" w:type="dxa"/>
            <w:vAlign w:val="bottom"/>
          </w:tcPr>
          <w:p>
            <w:pPr>
              <w:spacing w:after="0"/>
              <w:rPr>
                <w:sz w:val="12"/>
                <w:szCs w:val="12"/>
                <w:color w:val="auto"/>
              </w:rPr>
            </w:pPr>
          </w:p>
        </w:tc>
        <w:tc>
          <w:tcPr>
            <w:tcW w:w="19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vMerge w:val="restart"/>
          </w:tcPr>
          <w:p>
            <w:pPr>
              <w:ind w:left="2320"/>
              <w:spacing w:after="0"/>
              <w:rPr>
                <w:sz w:val="20"/>
                <w:szCs w:val="20"/>
                <w:color w:val="auto"/>
              </w:rPr>
            </w:pPr>
            <w:r>
              <w:rPr>
                <w:rFonts w:ascii="Arial" w:cs="Arial" w:eastAsia="Arial" w:hAnsi="Arial"/>
                <w:sz w:val="14"/>
                <w:szCs w:val="14"/>
                <w:b w:val="1"/>
                <w:bCs w:val="1"/>
                <w:color w:val="auto"/>
              </w:rPr>
              <w:t>Plan Category</w:t>
            </w: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warrants</w:t>
            </w:r>
          </w:p>
        </w:tc>
        <w:tc>
          <w:tcPr>
            <w:tcW w:w="20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4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reflected in column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gridSpan w:val="2"/>
            <w:vMerge w:val="continue"/>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and rights</w:t>
            </w:r>
          </w:p>
        </w:tc>
        <w:tc>
          <w:tcPr>
            <w:tcW w:w="100" w:type="dxa"/>
            <w:vAlign w:val="bottom"/>
          </w:tcPr>
          <w:p>
            <w:pPr>
              <w:spacing w:after="0"/>
              <w:rPr>
                <w:sz w:val="14"/>
                <w:szCs w:val="14"/>
                <w:color w:val="auto"/>
              </w:rPr>
            </w:pPr>
          </w:p>
        </w:tc>
        <w:tc>
          <w:tcPr>
            <w:tcW w:w="19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and rights</w:t>
            </w: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w:t>
            </w: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rPr>
              <w:t>(b)</w:t>
            </w:r>
          </w:p>
        </w:tc>
        <w:tc>
          <w:tcPr>
            <w:tcW w:w="78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 (1) (2)</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795,239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21.40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269,073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5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795,239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21.40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269,073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5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additional awards will be made under the 2004 Plan.</w:t>
      </w:r>
    </w:p>
    <w:p>
      <w:pPr>
        <w:spacing w:after="0" w:line="23"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271,719 restricted stock units issued and outstanding pursuant to the 2014 Plan. There is no exercise price associated with these RSUs and therefore the weighted average price of outstanding options, warrants and rights reflect only the weighted average exercise price of the 523,520 options outstanding at December 31, 2017, issued pursuant to the 2004 Plan and 2014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Stockholder proposals and nominations should be addressed to our Secretary, c/o Rocket Pharmaceuticals, Inc., 430 East 29</w:t>
      </w:r>
      <w:r>
        <w:rPr>
          <w:rFonts w:ascii="Arial" w:cs="Arial" w:eastAsia="Arial" w:hAnsi="Arial"/>
          <w:sz w:val="15"/>
          <w:szCs w:val="15"/>
          <w:color w:val="auto"/>
        </w:rPr>
        <w:t>th</w:t>
      </w:r>
      <w:r>
        <w:rPr>
          <w:rFonts w:ascii="Arial" w:cs="Arial" w:eastAsia="Arial" w:hAnsi="Arial"/>
          <w:sz w:val="18"/>
          <w:szCs w:val="18"/>
          <w:color w:val="auto"/>
        </w:rPr>
        <w:t xml:space="preserve"> Street, Suite 1040, New York, NY 10016.</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required notice must be in writing and received by our corporate secretary at our principal executive offices not later than the close of business on the ninetieth (90th) day nor earlier than the close of business on the one hundred twentieth (120th) day prior to the one-year anniversary of the preceding year’s annual meeting. However, in the event the annual meeting is first convened more than thirty (30) days before or more than sixty (60) days after such anniversary date, or if no annual meeting were held in the preceding year, a stockholder’s notice must be received by our corporate secretary not later than the close of business on the later of the ninetieth (90th) day prior to the scheduled date of such annual meeting or the tenth (10th) day following the day on which public announcement of the date of such meeting is first made. Accordingly, for stockholder proposals or nominations to be brought before the 2019 annual meeting of stockholders, the required notice must be received by our corporate secretary at the address set forth above no earlier than February 25, 2019, and no later than March 27, 2019. Proposals and nominations not received within this time frame will be considered untimely.</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stockholder proposal submitted pursuant to Rule 14a-8 of the Exchange Act to be included in the proxy statement for the next annual meeting of our stockholders must satisfy the SEC’s regulations under Rule 14a-8 of the Exchange Act, and be received no later than December 26, 2018. Under Rule 14a-8, we are not required to include such stockholder proposals in our proxy materials unless this condition is satisfied. Accordingly, any notice of such stockholder proposals received after this date will be considered untimely. If the date of the annual meeting is moved by more than thirty (30) days from the date contemplated at the time of the previous year’s proxy statement, then notice must be received within a reasonable time before we begin to print and send proxy materials. In the event of such a change to the annual meeting date, we will publicly announce the deadline for submitting a proposal in a press release or in a document filed with the SEC. Nothing in this paragraph shall be deemed to require us to include in our proxy statement and proxy card for such meeting any such stockholder proposal which does not meet the requirements of the SEC in effect at the time. Any such proposal will be subject to Rule 14a-8 of the Exchange Act.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As of the time of preparation of this proxy statement, neither the Board nor management intends to bring before the Annual Meeting any business other than the matters referred to in the Notice of Annual Meeting and this proxy statement. If any other business should properly come before the Annual Meeting, or any adjournment thereof, the persons named in the proxy will vote on such matters according to their best judgment.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CERTAIN DOCUMENTS</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Accompanying this proxy statement and posted on the investor relations portion of our website at </w:t>
      </w:r>
      <w:r>
        <w:rPr>
          <w:rFonts w:ascii="Arial" w:cs="Arial" w:eastAsia="Arial" w:hAnsi="Arial"/>
          <w:sz w:val="16"/>
          <w:szCs w:val="16"/>
          <w:i w:val="1"/>
          <w:iCs w:val="1"/>
          <w:color w:val="auto"/>
        </w:rPr>
        <w:t>www.rocketpharma.com</w:t>
      </w:r>
      <w:r>
        <w:rPr>
          <w:rFonts w:ascii="Arial" w:cs="Arial" w:eastAsia="Arial" w:hAnsi="Arial"/>
          <w:sz w:val="16"/>
          <w:szCs w:val="16"/>
          <w:color w:val="auto"/>
        </w:rPr>
        <w:t xml:space="preserve"> with this proxy statement, is our Annual Report on Form 10-K for the fiscal year ended December 31, 2017. The inclusion of our website address here and elsewhere in this proxy statement does not include or incorporate by reference the information on our website into this proxy statement. </w:t>
      </w:r>
      <w:r>
        <w:rPr>
          <w:rFonts w:ascii="Arial" w:cs="Arial" w:eastAsia="Arial" w:hAnsi="Arial"/>
          <w:sz w:val="16"/>
          <w:szCs w:val="16"/>
          <w:b w:val="1"/>
          <w:bCs w:val="1"/>
          <w:color w:val="auto"/>
        </w:rPr>
        <w:t>We will also mail without charge, upon written</w:t>
      </w:r>
      <w:r>
        <w:rPr>
          <w:rFonts w:ascii="Arial" w:cs="Arial" w:eastAsia="Arial" w:hAnsi="Arial"/>
          <w:sz w:val="16"/>
          <w:szCs w:val="16"/>
          <w:color w:val="auto"/>
        </w:rPr>
        <w:t xml:space="preserve"> </w:t>
      </w:r>
      <w:r>
        <w:rPr>
          <w:rFonts w:ascii="Arial" w:cs="Arial" w:eastAsia="Arial" w:hAnsi="Arial"/>
          <w:sz w:val="16"/>
          <w:szCs w:val="16"/>
          <w:b w:val="1"/>
          <w:bCs w:val="1"/>
          <w:color w:val="auto"/>
        </w:rPr>
        <w:t>request, a copy of that Annual Report excluding exhibits</w:t>
      </w:r>
      <w:r>
        <w:rPr>
          <w:rFonts w:ascii="Arial" w:cs="Arial" w:eastAsia="Arial" w:hAnsi="Arial"/>
          <w:sz w:val="16"/>
          <w:szCs w:val="16"/>
          <w:color w:val="auto"/>
        </w:rPr>
        <w:t>. Requests can be made by email by emailing info@rocketpharma.com, or by a written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addressed to our Secretary, c/o Rocket Pharmaceuticals, Inc., 430 East 29</w:t>
      </w:r>
      <w:r>
        <w:rPr>
          <w:rFonts w:ascii="Arial" w:cs="Arial" w:eastAsia="Arial" w:hAnsi="Arial"/>
          <w:sz w:val="13"/>
          <w:szCs w:val="13"/>
          <w:color w:val="auto"/>
        </w:rPr>
        <w:t>th</w:t>
      </w:r>
      <w:r>
        <w:rPr>
          <w:rFonts w:ascii="Arial" w:cs="Arial" w:eastAsia="Arial" w:hAnsi="Arial"/>
          <w:sz w:val="16"/>
          <w:szCs w:val="16"/>
          <w:color w:val="auto"/>
        </w:rPr>
        <w:t xml:space="preserve"> Street, Suite 1040, New York, NY 10016.</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Stockholders residing in the same household who hold their stock through a bank or broker may receive only one set of proxy materials in accordance with a notice sent earlier by their bank or broker unless we have received contrary instructions from one or more of the stockholders. This practice will continue unless instructions to the contrary are received by your bank or broker from one or more of the stockholders within the household. We will promptly deliver a separate copy of the proxy materials to such stockholders if you make a written or oral request to our corporate secretary at the address above, or by calling (646) 440-9100.</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ROCKET PHARMACEUTICALS, INC.</w:t>
      </w:r>
    </w:p>
    <w:p>
      <w:pPr>
        <w:jc w:val="center"/>
        <w:spacing w:after="0"/>
        <w:rPr>
          <w:sz w:val="20"/>
          <w:szCs w:val="20"/>
          <w:color w:val="auto"/>
        </w:rPr>
      </w:pPr>
      <w:r>
        <w:rPr>
          <w:rFonts w:ascii="Arial" w:cs="Arial" w:eastAsia="Arial" w:hAnsi="Arial"/>
          <w:sz w:val="22"/>
          <w:szCs w:val="22"/>
          <w:b w:val="1"/>
          <w:bCs w:val="1"/>
          <w:color w:val="auto"/>
        </w:rPr>
        <w:t>SECOND AMENDED AND RESTATED 2014 STOCK OPTION AND INCENTIVE PLAN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GENERAL PURPOSE OF THE PLAN; DEFINITIONS</w:t>
      </w:r>
    </w:p>
    <w:p>
      <w:pPr>
        <w:spacing w:after="0" w:line="206" w:lineRule="exact"/>
        <w:rPr>
          <w:sz w:val="20"/>
          <w:szCs w:val="20"/>
          <w:color w:val="auto"/>
        </w:rPr>
      </w:pPr>
    </w:p>
    <w:p>
      <w:pPr>
        <w:ind w:right="20" w:firstLine="799"/>
        <w:spacing w:after="0" w:line="247" w:lineRule="auto"/>
        <w:rPr>
          <w:sz w:val="20"/>
          <w:szCs w:val="20"/>
          <w:color w:val="auto"/>
        </w:rPr>
      </w:pPr>
      <w:r>
        <w:rPr>
          <w:rFonts w:ascii="Arial" w:cs="Arial" w:eastAsia="Arial" w:hAnsi="Arial"/>
          <w:sz w:val="21"/>
          <w:szCs w:val="21"/>
          <w:color w:val="auto"/>
        </w:rPr>
        <w:t>The name of the plan is the Rocket Pharmaceuticals, Inc. 2014 Second Amended and Restated Stock Option and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The purpose of the Plan is to encourage and enable the officers, employees, Non-Employee Directors and Consultants of Rocket Pharmaceuticals,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the Securities Act of 1933, as amended, and the rules and regulations thereunder.</w:t>
      </w:r>
    </w:p>
    <w:p>
      <w:pPr>
        <w:spacing w:after="0" w:line="206" w:lineRule="exact"/>
        <w:rPr>
          <w:sz w:val="20"/>
          <w:szCs w:val="20"/>
          <w:color w:val="auto"/>
        </w:rPr>
      </w:pPr>
    </w:p>
    <w:p>
      <w:pPr>
        <w:ind w:right="220" w:firstLine="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either the Board or the compensation committee of the Board or a similar committee performing the functions of the compensation committee and which is comprised of not less than two Non-Employee Directors who are independent.</w:t>
      </w:r>
    </w:p>
    <w:p>
      <w:pPr>
        <w:spacing w:after="0" w:line="186" w:lineRule="exact"/>
        <w:rPr>
          <w:sz w:val="20"/>
          <w:szCs w:val="20"/>
          <w:color w:val="auto"/>
        </w:rPr>
      </w:pPr>
    </w:p>
    <w:p>
      <w:pPr>
        <w:ind w:right="500" w:firstLine="79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w:t>
      </w:r>
      <w:r>
        <w:rPr>
          <w:rFonts w:ascii="Arial" w:cs="Arial" w:eastAsia="Arial" w:hAnsi="Arial"/>
          <w:sz w:val="19"/>
          <w:szCs w:val="19"/>
          <w:color w:val="auto"/>
        </w:rPr>
        <w:t>” or “</w:t>
      </w:r>
      <w:r>
        <w:rPr>
          <w:rFonts w:ascii="Arial" w:cs="Arial" w:eastAsia="Arial" w:hAnsi="Arial"/>
          <w:sz w:val="19"/>
          <w:szCs w:val="19"/>
          <w:u w:val="single" w:color="auto"/>
          <w:color w:val="auto"/>
        </w:rPr>
        <w:t>Awards</w:t>
      </w:r>
      <w:r>
        <w:rPr>
          <w:rFonts w:ascii="Arial" w:cs="Arial" w:eastAsia="Arial" w:hAnsi="Arial"/>
          <w:sz w:val="19"/>
          <w:szCs w:val="19"/>
          <w:color w:val="auto"/>
        </w:rPr>
        <w:t>,” except where referring to a particular category of grant under the Plan, shall include Incentive Stock Options, Non-Qualified Stock Options, Stock Appreciation Rights, Restricted Stock Units, Restricted Stock Awards, Unrestricted Stock Awards, Cash-Based Awards, Performance Share Awards and Dividend Equivalent Rights.</w:t>
      </w:r>
    </w:p>
    <w:p>
      <w:pPr>
        <w:spacing w:after="0" w:line="134" w:lineRule="exact"/>
        <w:rPr>
          <w:sz w:val="20"/>
          <w:szCs w:val="20"/>
          <w:color w:val="auto"/>
        </w:rPr>
      </w:pPr>
    </w:p>
    <w:p>
      <w:pPr>
        <w:ind w:right="10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Certificate</w:t>
      </w:r>
      <w:r>
        <w:rPr>
          <w:rFonts w:ascii="Arial" w:cs="Arial" w:eastAsia="Arial" w:hAnsi="Arial"/>
          <w:sz w:val="22"/>
          <w:szCs w:val="22"/>
          <w:color w:val="auto"/>
        </w:rPr>
        <w:t>” means a written or electronic document setting forth the terms and provisions applicable to an Award granted under the Plan. Each Award Certificate is subject to the terms and conditions of the Plan.</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Cash-Based Award</w:t>
      </w:r>
      <w:r>
        <w:rPr>
          <w:rFonts w:ascii="Arial" w:cs="Arial" w:eastAsia="Arial" w:hAnsi="Arial"/>
          <w:sz w:val="22"/>
          <w:szCs w:val="22"/>
          <w:color w:val="auto"/>
        </w:rPr>
        <w:t>” means an Award entitling the recipient to receive a cash-denominated payment.</w:t>
      </w:r>
    </w:p>
    <w:p>
      <w:pPr>
        <w:spacing w:after="0" w:line="206"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and any successor Code, and related rules, regulations and interpretations.</w:t>
      </w:r>
    </w:p>
    <w:p>
      <w:pPr>
        <w:spacing w:after="0" w:line="173" w:lineRule="exact"/>
        <w:rPr>
          <w:sz w:val="20"/>
          <w:szCs w:val="20"/>
          <w:color w:val="auto"/>
        </w:rPr>
      </w:pPr>
    </w:p>
    <w:p>
      <w:pPr>
        <w:ind w:right="80" w:firstLine="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rPr>
        <w:t>” means any natural person that provides bona fide services to the Company, and such services are not in connection with the offer or sale of securities in a capital-raising transaction and do not directly or indirectly promote or maintain a market for the Company’s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00" w:firstLine="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 Equivalent Right</w:t>
      </w:r>
      <w:r>
        <w:rPr>
          <w:rFonts w:ascii="Arial" w:cs="Arial" w:eastAsia="Arial" w:hAnsi="Arial"/>
          <w:sz w:val="22"/>
          <w:szCs w:val="22"/>
          <w:color w:val="auto"/>
        </w:rPr>
        <w:t>”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on which the Plan is approved by stockholders as set forth in Section 20.</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rules and regulations thereunder.</w:t>
      </w:r>
    </w:p>
    <w:p>
      <w:pPr>
        <w:spacing w:after="0" w:line="241" w:lineRule="exact"/>
        <w:rPr>
          <w:sz w:val="20"/>
          <w:szCs w:val="20"/>
          <w:color w:val="auto"/>
        </w:rPr>
      </w:pPr>
    </w:p>
    <w:p>
      <w:pPr>
        <w:ind w:firstLine="799"/>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of the Stock on any given date means the fair market value of the Stock determined in good faith by the Administrator; provided, however, that if the Stock is admitted to quotation on the National Association of Securities Dealers Automated Quotation System (“</w:t>
      </w:r>
      <w:r>
        <w:rPr>
          <w:rFonts w:ascii="Arial" w:cs="Arial" w:eastAsia="Arial" w:hAnsi="Arial"/>
          <w:sz w:val="19"/>
          <w:szCs w:val="19"/>
          <w:u w:val="single" w:color="auto"/>
          <w:color w:val="auto"/>
        </w:rPr>
        <w:t>NASDAQ</w:t>
      </w:r>
      <w:r>
        <w:rPr>
          <w:rFonts w:ascii="Arial" w:cs="Arial" w:eastAsia="Arial" w:hAnsi="Arial"/>
          <w:sz w:val="19"/>
          <w:szCs w:val="19"/>
          <w:color w:val="auto"/>
        </w:rPr>
        <w:t>”), NASDAQ Global Market or another national securities exchange, the determination shall be made by reference to market quotations. If there are no market quotations for such date, the determination shall be made by reference to the last date preceding such date for which there are market quotations.</w:t>
      </w:r>
    </w:p>
    <w:p>
      <w:pPr>
        <w:spacing w:after="0" w:line="148" w:lineRule="exact"/>
        <w:rPr>
          <w:sz w:val="20"/>
          <w:szCs w:val="20"/>
          <w:color w:val="auto"/>
        </w:rPr>
      </w:pPr>
    </w:p>
    <w:p>
      <w:pPr>
        <w:ind w:right="26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any Stock Option designated and qualified as an “incentive stock option” as defined in Section 422 of the Code.</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 member of the Board who is not also an employee of the Company or any Subsidiary.</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Non-Qualified Stock Option</w:t>
      </w:r>
      <w:r>
        <w:rPr>
          <w:rFonts w:ascii="Arial" w:cs="Arial" w:eastAsia="Arial" w:hAnsi="Arial"/>
          <w:sz w:val="22"/>
          <w:szCs w:val="22"/>
          <w:color w:val="auto"/>
        </w:rPr>
        <w:t>” means any Stock Option that is not an Incentive Stock Option.</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or “</w:t>
      </w:r>
      <w:r>
        <w:rPr>
          <w:rFonts w:ascii="Arial" w:cs="Arial" w:eastAsia="Arial" w:hAnsi="Arial"/>
          <w:sz w:val="22"/>
          <w:szCs w:val="22"/>
          <w:u w:val="single" w:color="auto"/>
          <w:color w:val="auto"/>
        </w:rPr>
        <w:t>Stock Option</w:t>
      </w:r>
      <w:r>
        <w:rPr>
          <w:rFonts w:ascii="Arial" w:cs="Arial" w:eastAsia="Arial" w:hAnsi="Arial"/>
          <w:sz w:val="22"/>
          <w:szCs w:val="22"/>
          <w:color w:val="auto"/>
        </w:rPr>
        <w:t>” means any option to purchase shares of Stock granted pursuant to Section 5.</w:t>
      </w:r>
    </w:p>
    <w:p>
      <w:pPr>
        <w:spacing w:after="0" w:line="206" w:lineRule="exact"/>
        <w:rPr>
          <w:sz w:val="20"/>
          <w:szCs w:val="20"/>
          <w:color w:val="auto"/>
        </w:rPr>
      </w:pPr>
    </w:p>
    <w:p>
      <w:pPr>
        <w:ind w:firstLine="7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Criteria</w:t>
      </w:r>
      <w:r>
        <w:rPr>
          <w:rFonts w:ascii="Arial" w:cs="Arial" w:eastAsia="Arial" w:hAnsi="Arial"/>
          <w:sz w:val="19"/>
          <w:szCs w:val="19"/>
          <w:color w:val="auto"/>
        </w:rPr>
        <w:t>” means the criteria that the Administrator selects for purposes of establishing the Performance Goal or Performance Goals for an individual for a Performance Cycle. The Performance Criteria (which may be applicable to the organizational level specified by the Administrator, including, but not limited to, the Company or a unit, division, group, or Subsidiary of the Company) that may be used to establish Performance Goals shall include the following: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developmental, clinical or regulatory milestones, acquisitions or strategic transactions, including licenses, collaborations, joint ventures, or promotion arrangements,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sales or market shares, number of customers and any other objective or subjective measure or metric the Administrator deems appropriate, any of which may be measured either in absolute terms or as compared to any incremental increase or as compared to results of a peer group or on an individual basis. The Administrator may appropriately adjust any evaluation performance under a Performance Criterion to include or exclude any of the following 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(v) any unusual, infrequently occurring or non-recurring items, including those described in the Financial Accounting Standards Board’s authoritative guidance and/or in management’s discussion and analysis of financial condition of operations appearing the Company’s annual report to stockholders for the applicable year, and (vi) any other inclusions or exclusions as the Administrator may determine with respect to an Award.</w:t>
      </w:r>
    </w:p>
    <w:p>
      <w:pPr>
        <w:spacing w:after="0" w:line="162" w:lineRule="exact"/>
        <w:rPr>
          <w:sz w:val="20"/>
          <w:szCs w:val="20"/>
          <w:color w:val="auto"/>
        </w:rPr>
      </w:pPr>
    </w:p>
    <w:p>
      <w:pPr>
        <w:ind w:right="200" w:firstLine="79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Cycle</w:t>
      </w:r>
      <w:r>
        <w:rPr>
          <w:rFonts w:ascii="Arial" w:cs="Arial" w:eastAsia="Arial" w:hAnsi="Arial"/>
          <w:sz w:val="22"/>
          <w:szCs w:val="22"/>
          <w:color w:val="auto"/>
        </w:rPr>
        <w:t>” means one or more periods of time, which may be of varying and overlapping durations, as the Administrator may select, over which the attainment of one or more Performance Criteria will be measured for the purpose of determining a grantee’s right to and the payment of an Award, the vesting and/or payment of which is subject to the attainment of one or more Performance Goals.</w:t>
      </w:r>
    </w:p>
    <w:p>
      <w:pPr>
        <w:spacing w:after="0" w:line="185" w:lineRule="exact"/>
        <w:rPr>
          <w:sz w:val="20"/>
          <w:szCs w:val="20"/>
          <w:color w:val="auto"/>
        </w:rPr>
      </w:pPr>
    </w:p>
    <w:p>
      <w:pPr>
        <w:ind w:right="8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Goals</w:t>
      </w:r>
      <w:r>
        <w:rPr>
          <w:rFonts w:ascii="Arial" w:cs="Arial" w:eastAsia="Arial" w:hAnsi="Arial"/>
          <w:sz w:val="22"/>
          <w:szCs w:val="22"/>
          <w:color w:val="auto"/>
        </w:rPr>
        <w:t>” means, for a Performance Cycle, the specific goals established in writing by the Administrator for a Performance Cycle based upon the Performance Criteria.</w:t>
      </w:r>
    </w:p>
    <w:p>
      <w:pPr>
        <w:spacing w:after="0" w:line="173" w:lineRule="exact"/>
        <w:rPr>
          <w:sz w:val="20"/>
          <w:szCs w:val="20"/>
          <w:color w:val="auto"/>
        </w:rPr>
      </w:pPr>
    </w:p>
    <w:p>
      <w:pPr>
        <w:ind w:right="44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Share Award</w:t>
      </w:r>
      <w:r>
        <w:rPr>
          <w:rFonts w:ascii="Arial" w:cs="Arial" w:eastAsia="Arial" w:hAnsi="Arial"/>
          <w:sz w:val="22"/>
          <w:szCs w:val="22"/>
          <w:color w:val="auto"/>
        </w:rPr>
        <w:t>” means an Award entitling the recipient to acquire shares of Stock upon the attainment of specified Performance Goals.</w:t>
      </w:r>
    </w:p>
    <w:p>
      <w:pPr>
        <w:spacing w:after="0" w:line="173" w:lineRule="exact"/>
        <w:rPr>
          <w:sz w:val="20"/>
          <w:szCs w:val="20"/>
          <w:color w:val="auto"/>
        </w:rPr>
      </w:pPr>
    </w:p>
    <w:p>
      <w:pPr>
        <w:ind w:right="66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Shares</w:t>
      </w:r>
      <w:r>
        <w:rPr>
          <w:rFonts w:ascii="Arial" w:cs="Arial" w:eastAsia="Arial" w:hAnsi="Arial"/>
          <w:sz w:val="22"/>
          <w:szCs w:val="22"/>
          <w:i w:val="1"/>
          <w:iCs w:val="1"/>
          <w:color w:val="auto"/>
        </w:rPr>
        <w:t>”</w:t>
      </w:r>
      <w:r>
        <w:rPr>
          <w:rFonts w:ascii="Arial" w:cs="Arial" w:eastAsia="Arial" w:hAnsi="Arial"/>
          <w:sz w:val="22"/>
          <w:szCs w:val="22"/>
          <w:color w:val="auto"/>
        </w:rPr>
        <w:t xml:space="preserve"> means the shares of Stock underlying a Restricted Stock Award that remain subject to a risk of forfeiture or the Company’s right of repurchase.</w:t>
      </w:r>
    </w:p>
    <w:p>
      <w:pPr>
        <w:spacing w:after="0" w:line="173" w:lineRule="exact"/>
        <w:rPr>
          <w:sz w:val="20"/>
          <w:szCs w:val="20"/>
          <w:color w:val="auto"/>
        </w:rPr>
      </w:pPr>
    </w:p>
    <w:p>
      <w:pPr>
        <w:ind w:right="86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Award</w:t>
      </w:r>
      <w:r>
        <w:rPr>
          <w:rFonts w:ascii="Arial" w:cs="Arial" w:eastAsia="Arial" w:hAnsi="Arial"/>
          <w:sz w:val="22"/>
          <w:szCs w:val="22"/>
          <w:color w:val="auto"/>
        </w:rPr>
        <w:t>” means an Award of Restricted Shares subject to such restrictions and conditions as the Administrator may determine at the time of grant.</w:t>
      </w:r>
    </w:p>
    <w:p>
      <w:pPr>
        <w:spacing w:after="0" w:line="173" w:lineRule="exact"/>
        <w:rPr>
          <w:sz w:val="20"/>
          <w:szCs w:val="20"/>
          <w:color w:val="auto"/>
        </w:rPr>
      </w:pPr>
    </w:p>
    <w:p>
      <w:pPr>
        <w:ind w:right="26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means an Award of stock units subject to such restrictions and conditions as the Administrator may determine at the time of grant.</w:t>
      </w:r>
    </w:p>
    <w:p>
      <w:pPr>
        <w:spacing w:after="0" w:line="173" w:lineRule="exact"/>
        <w:rPr>
          <w:sz w:val="20"/>
          <w:szCs w:val="20"/>
          <w:color w:val="auto"/>
        </w:rPr>
      </w:pPr>
    </w:p>
    <w:p>
      <w:pPr>
        <w:ind w:firstLine="799"/>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Event</w:t>
      </w:r>
      <w:r>
        <w:rPr>
          <w:rFonts w:ascii="Arial" w:cs="Arial" w:eastAsia="Arial" w:hAnsi="Arial"/>
          <w:sz w:val="22"/>
          <w:szCs w:val="22"/>
          <w:color w:val="auto"/>
        </w:rPr>
        <w: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color w:val="auto"/>
        </w:rPr>
        <w:t>immediately upon completion of the transaction other than as a result of the acquisition of securities directly from the Company.</w:t>
      </w:r>
    </w:p>
    <w:p>
      <w:pPr>
        <w:spacing w:after="0" w:line="241"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means Section 409A of the Code and the regulations and other guidance promulgated thereunder.</w:t>
      </w:r>
    </w:p>
    <w:p>
      <w:pPr>
        <w:spacing w:after="0" w:line="241" w:lineRule="exact"/>
        <w:rPr>
          <w:sz w:val="20"/>
          <w:szCs w:val="20"/>
          <w:color w:val="auto"/>
        </w:rPr>
      </w:pPr>
    </w:p>
    <w:p>
      <w:pPr>
        <w:ind w:right="82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w:t>
      </w:r>
      <w:r>
        <w:rPr>
          <w:rFonts w:ascii="Arial" w:cs="Arial" w:eastAsia="Arial" w:hAnsi="Arial"/>
          <w:sz w:val="22"/>
          <w:szCs w:val="22"/>
          <w:color w:val="auto"/>
        </w:rPr>
        <w:t>” means the common stock, par value $0.01 per share, of the Company, subject to adjustments pursuant to Section 3.</w:t>
      </w:r>
    </w:p>
    <w:p>
      <w:pPr>
        <w:spacing w:after="0" w:line="173" w:lineRule="exact"/>
        <w:rPr>
          <w:sz w:val="20"/>
          <w:szCs w:val="20"/>
          <w:color w:val="auto"/>
        </w:rPr>
      </w:pPr>
    </w:p>
    <w:p>
      <w:pPr>
        <w:ind w:right="140" w:firstLine="79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Appreciation Right</w:t>
      </w:r>
      <w:r>
        <w:rPr>
          <w:rFonts w:ascii="Arial" w:cs="Arial" w:eastAsia="Arial" w:hAnsi="Arial"/>
          <w:sz w:val="19"/>
          <w:szCs w:val="19"/>
          <w:color w:val="auto"/>
        </w:rPr>
        <w:t>” means an Award entitling the recipient to receive shares of Stock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34" w:lineRule="exact"/>
        <w:rPr>
          <w:sz w:val="20"/>
          <w:szCs w:val="20"/>
          <w:color w:val="auto"/>
        </w:rPr>
      </w:pPr>
    </w:p>
    <w:p>
      <w:pPr>
        <w:ind w:right="700" w:firstLine="799"/>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corporation or other entity (other than the Company) in which the Company has at least a 50 percent interest, either directly or indirectly.</w:t>
      </w:r>
    </w:p>
    <w:p>
      <w:pPr>
        <w:spacing w:after="0" w:line="173" w:lineRule="exact"/>
        <w:rPr>
          <w:sz w:val="20"/>
          <w:szCs w:val="20"/>
          <w:color w:val="auto"/>
        </w:rPr>
      </w:pPr>
    </w:p>
    <w:p>
      <w:pPr>
        <w:ind w:right="20" w:firstLine="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Substitute Awards</w:t>
      </w:r>
      <w:r>
        <w:rPr>
          <w:rFonts w:ascii="Arial" w:cs="Arial" w:eastAsia="Arial" w:hAnsi="Arial"/>
          <w:sz w:val="22"/>
          <w:szCs w:val="22"/>
          <w:color w:val="auto"/>
        </w:rPr>
        <w:t>” shall mean Awards granted or Stock issued by the Company in assumption of, or in substitution or exchange for, awards previously granted, in each case by a company acquired by the Company or any Subsidiary or with which the Company or any Subsidiary combines.</w:t>
      </w:r>
    </w:p>
    <w:p>
      <w:pPr>
        <w:spacing w:after="0" w:line="186" w:lineRule="exact"/>
        <w:rPr>
          <w:sz w:val="20"/>
          <w:szCs w:val="20"/>
          <w:color w:val="auto"/>
        </w:rPr>
      </w:pPr>
    </w:p>
    <w:p>
      <w:pPr>
        <w:ind w:right="460" w:firstLine="7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Percent Owner</w:t>
      </w:r>
      <w:r>
        <w:rPr>
          <w:rFonts w:ascii="Arial" w:cs="Arial" w:eastAsia="Arial" w:hAnsi="Arial"/>
          <w:sz w:val="22"/>
          <w:szCs w:val="22"/>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Stock Award</w:t>
      </w:r>
      <w:r>
        <w:rPr>
          <w:rFonts w:ascii="Arial" w:cs="Arial" w:eastAsia="Arial" w:hAnsi="Arial"/>
          <w:sz w:val="22"/>
          <w:szCs w:val="22"/>
          <w:color w:val="auto"/>
        </w:rPr>
        <w:t>” means an Award of shares of Stock free of any restrictions.</w:t>
      </w:r>
    </w:p>
    <w:p>
      <w:pPr>
        <w:spacing w:after="0" w:line="206" w:lineRule="exact"/>
        <w:rPr>
          <w:sz w:val="20"/>
          <w:szCs w:val="20"/>
          <w:color w:val="auto"/>
        </w:rPr>
      </w:pPr>
    </w:p>
    <w:p>
      <w:pPr>
        <w:ind w:right="520" w:firstLine="799"/>
        <w:spacing w:after="0" w:line="251"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ADMINISTRATION OF PLAN; ADMINISTRATOR AUTHORITY TO SELECT GRANTEES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DETERMINE AWARDS</w:t>
      </w:r>
    </w:p>
    <w:p>
      <w:pPr>
        <w:spacing w:after="0" w:line="173" w:lineRule="exact"/>
        <w:rPr>
          <w:sz w:val="20"/>
          <w:szCs w:val="20"/>
          <w:color w:val="auto"/>
        </w:rPr>
      </w:pPr>
    </w:p>
    <w:p>
      <w:pPr>
        <w:ind w:left="1100" w:hanging="293"/>
        <w:spacing w:after="0"/>
        <w:tabs>
          <w:tab w:leader="none" w:pos="110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06" w:lineRule="exact"/>
        <w:rPr>
          <w:rFonts w:ascii="Arial" w:cs="Arial" w:eastAsia="Arial" w:hAnsi="Arial"/>
          <w:sz w:val="22"/>
          <w:szCs w:val="22"/>
          <w:color w:val="auto"/>
        </w:rPr>
      </w:pPr>
    </w:p>
    <w:p>
      <w:pPr>
        <w:ind w:right="280" w:firstLine="807"/>
        <w:spacing w:after="0" w:line="251" w:lineRule="auto"/>
        <w:tabs>
          <w:tab w:leader="none" w:pos="1105"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73" w:lineRule="exact"/>
        <w:rPr>
          <w:sz w:val="20"/>
          <w:szCs w:val="20"/>
          <w:color w:val="auto"/>
        </w:rPr>
      </w:pPr>
    </w:p>
    <w:p>
      <w:pPr>
        <w:ind w:left="1060" w:hanging="253"/>
        <w:spacing w:after="0"/>
        <w:tabs>
          <w:tab w:leader="none" w:pos="10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select the individuals to whom Awards may from time to time be granted;</w:t>
      </w:r>
    </w:p>
    <w:p>
      <w:pPr>
        <w:spacing w:after="0" w:line="206" w:lineRule="exact"/>
        <w:rPr>
          <w:rFonts w:ascii="Arial" w:cs="Arial" w:eastAsia="Arial" w:hAnsi="Arial"/>
          <w:sz w:val="22"/>
          <w:szCs w:val="22"/>
          <w:color w:val="auto"/>
        </w:rPr>
      </w:pPr>
    </w:p>
    <w:p>
      <w:pPr>
        <w:ind w:right="240" w:firstLine="807"/>
        <w:spacing w:after="0" w:line="238" w:lineRule="auto"/>
        <w:tabs>
          <w:tab w:leader="none" w:pos="1117"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180" w:hanging="373"/>
        <w:spacing w:after="0"/>
        <w:tabs>
          <w:tab w:leader="none" w:pos="11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determine the number of shares of Stock to be covered by any Award;</w:t>
      </w:r>
    </w:p>
    <w:p>
      <w:pPr>
        <w:spacing w:after="0" w:line="206" w:lineRule="exact"/>
        <w:rPr>
          <w:rFonts w:ascii="Arial" w:cs="Arial" w:eastAsia="Arial" w:hAnsi="Arial"/>
          <w:sz w:val="22"/>
          <w:szCs w:val="22"/>
          <w:color w:val="auto"/>
        </w:rPr>
      </w:pPr>
    </w:p>
    <w:p>
      <w:pPr>
        <w:ind w:right="20" w:firstLine="807"/>
        <w:spacing w:after="0"/>
        <w:tabs>
          <w:tab w:leader="none" w:pos="1165"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6" w:lineRule="exact"/>
        <w:rPr>
          <w:rFonts w:ascii="Arial" w:cs="Arial" w:eastAsia="Arial" w:hAnsi="Arial"/>
          <w:sz w:val="22"/>
          <w:szCs w:val="22"/>
          <w:color w:val="auto"/>
        </w:rPr>
      </w:pPr>
    </w:p>
    <w:p>
      <w:pPr>
        <w:ind w:left="1120" w:hanging="313"/>
        <w:spacing w:after="0"/>
        <w:tabs>
          <w:tab w:leader="none" w:pos="11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accelerate at any time the exercisability or vesting of all or any portion of any Award.</w:t>
      </w:r>
    </w:p>
    <w:p>
      <w:pPr>
        <w:spacing w:after="0" w:line="206" w:lineRule="exact"/>
        <w:rPr>
          <w:rFonts w:ascii="Arial" w:cs="Arial" w:eastAsia="Arial" w:hAnsi="Arial"/>
          <w:sz w:val="22"/>
          <w:szCs w:val="22"/>
          <w:color w:val="auto"/>
        </w:rPr>
      </w:pPr>
    </w:p>
    <w:p>
      <w:pPr>
        <w:ind w:left="1180" w:hanging="373"/>
        <w:spacing w:after="0"/>
        <w:tabs>
          <w:tab w:leader="none" w:pos="11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subject to the provisions of Section 5(c), to extend at any time the period in which Stock Options may be exercised;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jc w:val="both"/>
        <w:ind w:right="60" w:firstLine="807"/>
        <w:spacing w:after="0" w:line="252" w:lineRule="auto"/>
        <w:tabs>
          <w:tab w:leader="none" w:pos="1225" w:val="left"/>
        </w:tabs>
        <w:numPr>
          <w:ilvl w:val="0"/>
          <w:numId w:val="35"/>
        </w:numPr>
        <w:rPr>
          <w:rFonts w:ascii="Arial" w:cs="Arial" w:eastAsia="Arial" w:hAnsi="Arial"/>
          <w:sz w:val="21"/>
          <w:szCs w:val="21"/>
          <w:color w:val="auto"/>
        </w:rPr>
      </w:pPr>
      <w:r>
        <w:rPr>
          <w:rFonts w:ascii="Arial" w:cs="Arial" w:eastAsia="Arial" w:hAnsi="Arial"/>
          <w:sz w:val="21"/>
          <w:szCs w:val="21"/>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All decisions and interpretations of the Administrator shall be binding on all persons, including the Company and Plan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grantees.</w:t>
      </w:r>
    </w:p>
    <w:p>
      <w:pPr>
        <w:spacing w:after="0" w:line="188" w:lineRule="exact"/>
        <w:rPr>
          <w:sz w:val="20"/>
          <w:szCs w:val="20"/>
          <w:color w:val="auto"/>
        </w:rPr>
      </w:pPr>
    </w:p>
    <w:p>
      <w:pPr>
        <w:ind w:firstLine="807"/>
        <w:spacing w:after="0" w:line="277" w:lineRule="auto"/>
        <w:tabs>
          <w:tab w:leader="none" w:pos="109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Delegation of Authority to Grant Awards</w:t>
      </w:r>
      <w:r>
        <w:rPr>
          <w:rFonts w:ascii="Arial" w:cs="Arial" w:eastAsia="Arial" w:hAnsi="Arial"/>
          <w:sz w:val="19"/>
          <w:szCs w:val="19"/>
          <w:color w:val="auto"/>
        </w:rPr>
        <w:t>. Subject to applicable law, the Administrator, in its discretion, may delegate to the Chief Executive Officer of the Company all or part of the Administrator’s authority and duties with respect to the granting of Awards to individuals who are not subject to the reporting and other provisions of Section 16 of the Exchange Act.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2" w:lineRule="exact"/>
        <w:rPr>
          <w:rFonts w:ascii="Arial" w:cs="Arial" w:eastAsia="Arial" w:hAnsi="Arial"/>
          <w:sz w:val="19"/>
          <w:szCs w:val="19"/>
          <w:color w:val="auto"/>
        </w:rPr>
      </w:pPr>
    </w:p>
    <w:p>
      <w:pPr>
        <w:ind w:right="60" w:firstLine="807"/>
        <w:spacing w:after="0"/>
        <w:tabs>
          <w:tab w:leader="none" w:pos="1105"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6" w:lineRule="exact"/>
        <w:rPr>
          <w:rFonts w:ascii="Arial" w:cs="Arial" w:eastAsia="Arial" w:hAnsi="Arial"/>
          <w:sz w:val="22"/>
          <w:szCs w:val="22"/>
          <w:color w:val="auto"/>
        </w:rPr>
      </w:pPr>
    </w:p>
    <w:p>
      <w:pPr>
        <w:jc w:val="both"/>
        <w:ind w:right="180" w:firstLine="807"/>
        <w:spacing w:after="0" w:line="236" w:lineRule="auto"/>
        <w:tabs>
          <w:tab w:leader="none" w:pos="109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6" w:lineRule="exact"/>
        <w:rPr>
          <w:sz w:val="20"/>
          <w:szCs w:val="20"/>
          <w:color w:val="auto"/>
        </w:rPr>
      </w:pPr>
    </w:p>
    <w:p>
      <w:pPr>
        <w:ind w:firstLine="807"/>
        <w:spacing w:after="0" w:line="269" w:lineRule="auto"/>
        <w:tabs>
          <w:tab w:leader="none" w:pos="1069"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the Plan as appendices); provided, however, that no such subplans and/or modifications shall increase the share limitations contained in Section 3(a) hereof; and</w:t>
      </w:r>
    </w:p>
    <w:p>
      <w:pPr>
        <w:spacing w:after="0" w:line="3" w:lineRule="exact"/>
        <w:rPr>
          <w:rFonts w:ascii="Arial" w:cs="Arial" w:eastAsia="Arial" w:hAnsi="Arial"/>
          <w:sz w:val="19"/>
          <w:szCs w:val="19"/>
          <w:color w:val="auto"/>
        </w:rPr>
      </w:pPr>
    </w:p>
    <w:p>
      <w:pPr>
        <w:ind w:right="340" w:firstLine="8"/>
        <w:spacing w:after="0" w:line="280" w:lineRule="auto"/>
        <w:tabs>
          <w:tab w:leader="none" w:pos="306" w:val="left"/>
        </w:tabs>
        <w:numPr>
          <w:ilvl w:val="0"/>
          <w:numId w:val="38"/>
        </w:numPr>
        <w:rPr>
          <w:rFonts w:ascii="Arial" w:cs="Arial" w:eastAsia="Arial" w:hAnsi="Arial"/>
          <w:sz w:val="19"/>
          <w:szCs w:val="19"/>
          <w:color w:val="auto"/>
        </w:rPr>
      </w:pPr>
      <w:r>
        <w:rPr>
          <w:rFonts w:ascii="Arial" w:cs="Arial" w:eastAsia="Arial" w:hAnsi="Arial"/>
          <w:sz w:val="19"/>
          <w:szCs w:val="19"/>
          <w:color w:val="auto"/>
        </w:rPr>
        <w:t>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STOCK ISSUABLE UNDER THE PLAN; MERGERS; SUBSTITUTION</w:t>
      </w:r>
    </w:p>
    <w:p>
      <w:pPr>
        <w:spacing w:after="0" w:line="206" w:lineRule="exact"/>
        <w:rPr>
          <w:sz w:val="20"/>
          <w:szCs w:val="20"/>
          <w:color w:val="auto"/>
        </w:rPr>
      </w:pPr>
    </w:p>
    <w:p>
      <w:pPr>
        <w:ind w:left="1100" w:hanging="293"/>
        <w:spacing w:after="0"/>
        <w:tabs>
          <w:tab w:leader="none" w:pos="1100"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w:t>
      </w:r>
    </w:p>
    <w:p>
      <w:pPr>
        <w:spacing w:after="0" w:line="42" w:lineRule="exact"/>
        <w:rPr>
          <w:rFonts w:ascii="Arial" w:cs="Arial" w:eastAsia="Arial" w:hAnsi="Arial"/>
          <w:sz w:val="19"/>
          <w:szCs w:val="19"/>
          <w:color w:val="auto"/>
        </w:rPr>
      </w:pPr>
    </w:p>
    <w:p>
      <w:pPr>
        <w:ind w:right="40" w:firstLine="8"/>
        <w:spacing w:after="0" w:line="270" w:lineRule="auto"/>
        <w:tabs>
          <w:tab w:leader="none" w:pos="274" w:val="left"/>
        </w:tabs>
        <w:numPr>
          <w:ilvl w:val="0"/>
          <w:numId w:val="39"/>
        </w:numPr>
        <w:rPr>
          <w:rFonts w:ascii="Arial" w:cs="Arial" w:eastAsia="Arial" w:hAnsi="Arial"/>
          <w:sz w:val="19"/>
          <w:szCs w:val="19"/>
          <w:color w:val="auto"/>
        </w:rPr>
      </w:pPr>
      <w:r>
        <w:rPr>
          <w:rFonts w:ascii="Arial" w:cs="Arial" w:eastAsia="Arial" w:hAnsi="Arial"/>
          <w:sz w:val="19"/>
          <w:szCs w:val="19"/>
          <w:color w:val="auto"/>
        </w:rPr>
        <w:t>shares (the “Initial Limit”), subject to adjustment as provided in Section 3(b), plus on January 1, 2019 and each January 1 thereafter, the number of shares of Stock reserved and available for issuance under the Plan shall be cumulatively increased by 4 percent of the number of shares of Stock issued and outstanding on the immediately preceding December 31 (the “Annual Increase”). Subject to such overall limitation, the maximum aggregate number of shares of Stock that may be issued in the form of Incentive Stock Options shall not exceed the Initial Limit cumulatively increased on January 1, 2019 and on each January 1 thereafter by the lesser of the Annual Increase for such year or 8,000,000 shares of Stock, subject in all cases to adjustment as provided in Section 3(b). The shares of Stock underlying any Awards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Stock may be granted to any one individual grantee during any one calendar year period. The shares available for issuance under the Plan may be authorized but unissued shares of Stock or shares of Stock reacquired by the Company.</w:t>
      </w:r>
    </w:p>
    <w:p>
      <w:pPr>
        <w:spacing w:after="0" w:line="105" w:lineRule="exact"/>
        <w:rPr>
          <w:sz w:val="20"/>
          <w:szCs w:val="20"/>
          <w:color w:val="auto"/>
        </w:rPr>
      </w:pPr>
    </w:p>
    <w:p>
      <w:pPr>
        <w:ind w:firstLine="807"/>
        <w:spacing w:after="0" w:line="270" w:lineRule="auto"/>
        <w:tabs>
          <w:tab w:leader="none" w:pos="1105"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3(c) hereof, if, as a result of any reorganization, recapitalization, reclassification, extraordinary cash dividend, stock dividend, spinoff,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maximum number of Stock Options or Stock Appreciation Rights that can be granted to any one individual grantee in a single calendar year, (iii) the number and kind of shares or other securities subject to any then outstanding Awards under the Plan, (iv) the repurchase price, if any, per share subject to each outstanding Restricted Stock Award,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and (vi) any Performance Goals applicable to outstanding Awards. The Administrator shall also make equitable or proportionate adjustments in the number of shares subject to outstanding Awards and the exercise price and the terms of outstanding Awards to take into consideration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4" w:lineRule="exact"/>
        <w:rPr>
          <w:rFonts w:ascii="Arial" w:cs="Arial" w:eastAsia="Arial" w:hAnsi="Arial"/>
          <w:sz w:val="19"/>
          <w:szCs w:val="19"/>
          <w:color w:val="auto"/>
        </w:rPr>
      </w:pPr>
    </w:p>
    <w:p>
      <w:pPr>
        <w:ind w:right="60" w:firstLine="807"/>
        <w:spacing w:after="0" w:line="269" w:lineRule="auto"/>
        <w:tabs>
          <w:tab w:leader="none" w:pos="1092"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Mergers and Other Transactions</w:t>
      </w:r>
      <w:r>
        <w:rPr>
          <w:rFonts w:ascii="Arial" w:cs="Arial" w:eastAsia="Arial" w:hAnsi="Arial"/>
          <w:sz w:val="19"/>
          <w:szCs w:val="19"/>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or except as may be otherwise provided in the relevant Award Certificate, upon the effective time of the Sale Event, the Plan and all outstanding Awards granted hereunder shall terminate. Notwithstanding the foregoing and except as may be otherwise provided in the relevant Award Certificate, the Administrator, in its discretion, may</w:t>
      </w:r>
    </w:p>
    <w:p>
      <w:pPr>
        <w:spacing w:after="0" w:line="5" w:lineRule="exact"/>
        <w:rPr>
          <w:rFonts w:ascii="Arial" w:cs="Arial" w:eastAsia="Arial" w:hAnsi="Arial"/>
          <w:sz w:val="19"/>
          <w:szCs w:val="19"/>
          <w:color w:val="auto"/>
        </w:rPr>
      </w:pPr>
    </w:p>
    <w:p>
      <w:pPr>
        <w:ind w:right="360" w:firstLine="8"/>
        <w:spacing w:after="0" w:line="237" w:lineRule="auto"/>
        <w:tabs>
          <w:tab w:leader="none" w:pos="2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determine to accelerate the vesting of all outstanding Awards with time-based vesting, conditions or restrictions immediately prior to their termination as of the effective time of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Sale Event; (ii) determine to accelerate the vesting of all Awards with conditions and restrictions relating to the attainment of performance goals immediately prior to their termination upon the effective time of the Sale Event or to the extent specified in the relevant Award Certificate; and/or (iii) make or provide for a payment, in cash or in kind, to the grantees holding Awards in an amount equal to value of the Awards (as determined in the sole discretion of the Administrator).</w:t>
      </w:r>
    </w:p>
    <w:p>
      <w:pPr>
        <w:spacing w:after="0" w:line="174" w:lineRule="exact"/>
        <w:rPr>
          <w:sz w:val="20"/>
          <w:szCs w:val="20"/>
          <w:color w:val="auto"/>
        </w:rPr>
      </w:pPr>
    </w:p>
    <w:p>
      <w:pPr>
        <w:ind w:right="100" w:firstLine="807"/>
        <w:spacing w:after="0" w:line="238" w:lineRule="auto"/>
        <w:tabs>
          <w:tab w:leader="none" w:pos="1105"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Acquisitions by the Company</w:t>
      </w:r>
      <w:r>
        <w:rPr>
          <w:rFonts w:ascii="Arial" w:cs="Arial" w:eastAsia="Arial" w:hAnsi="Arial"/>
          <w:sz w:val="22"/>
          <w:szCs w:val="22"/>
          <w:color w:val="auto"/>
        </w:rPr>
        <w:t>. Stock may be issued under the terms of the Plan in connection with a merger or acquisition as permitted by NASDAQ Listing Rule 5635(c), NYSE Listed Company Manual Section 303A.08, AMEX Company Guide Section 711 or other applicable rule, and such issuance will not reduce the number of shares of Stock available for issuance under the Plan.</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ELIGIBILITY</w:t>
      </w:r>
    </w:p>
    <w:p>
      <w:pPr>
        <w:spacing w:after="0" w:line="206" w:lineRule="exact"/>
        <w:rPr>
          <w:sz w:val="20"/>
          <w:szCs w:val="20"/>
          <w:color w:val="auto"/>
        </w:rPr>
      </w:pPr>
    </w:p>
    <w:p>
      <w:pPr>
        <w:ind w:right="560" w:firstLine="799"/>
        <w:spacing w:after="0" w:line="328" w:lineRule="auto"/>
        <w:rPr>
          <w:sz w:val="20"/>
          <w:szCs w:val="20"/>
          <w:color w:val="auto"/>
        </w:rPr>
      </w:pPr>
      <w:r>
        <w:rPr>
          <w:rFonts w:ascii="Arial" w:cs="Arial" w:eastAsia="Arial" w:hAnsi="Arial"/>
          <w:sz w:val="19"/>
          <w:szCs w:val="19"/>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STOCK OPTIONS</w:t>
      </w:r>
    </w:p>
    <w:p>
      <w:pPr>
        <w:spacing w:after="0" w:line="206" w:lineRule="exact"/>
        <w:rPr>
          <w:sz w:val="20"/>
          <w:szCs w:val="20"/>
          <w:color w:val="auto"/>
        </w:rPr>
      </w:pPr>
    </w:p>
    <w:p>
      <w:pPr>
        <w:ind w:firstLine="807"/>
        <w:spacing w:after="0" w:line="251" w:lineRule="auto"/>
        <w:tabs>
          <w:tab w:leader="none" w:pos="109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w:t>
      </w:r>
    </w:p>
    <w:p>
      <w:pPr>
        <w:spacing w:after="0" w:line="173" w:lineRule="exact"/>
        <w:rPr>
          <w:sz w:val="20"/>
          <w:szCs w:val="20"/>
          <w:color w:val="auto"/>
        </w:rPr>
      </w:pPr>
    </w:p>
    <w:p>
      <w:pPr>
        <w:ind w:right="180" w:firstLine="799"/>
        <w:spacing w:after="0" w:line="238" w:lineRule="auto"/>
        <w:rPr>
          <w:sz w:val="20"/>
          <w:szCs w:val="20"/>
          <w:color w:val="auto"/>
        </w:rPr>
      </w:pPr>
      <w:r>
        <w:rPr>
          <w:rFonts w:ascii="Arial" w:cs="Arial" w:eastAsia="Arial" w:hAnsi="Arial"/>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5" w:lineRule="exact"/>
        <w:rPr>
          <w:sz w:val="20"/>
          <w:szCs w:val="20"/>
          <w:color w:val="auto"/>
        </w:rPr>
      </w:pPr>
    </w:p>
    <w:p>
      <w:pPr>
        <w:ind w:right="20" w:firstLine="799"/>
        <w:spacing w:after="0" w:line="238" w:lineRule="auto"/>
        <w:rPr>
          <w:sz w:val="20"/>
          <w:szCs w:val="20"/>
          <w:color w:val="auto"/>
        </w:rPr>
      </w:pPr>
      <w:r>
        <w:rPr>
          <w:rFonts w:ascii="Arial" w:cs="Arial" w:eastAsia="Arial" w:hAnsi="Arial"/>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5" w:lineRule="exact"/>
        <w:rPr>
          <w:sz w:val="20"/>
          <w:szCs w:val="20"/>
          <w:color w:val="auto"/>
        </w:rPr>
      </w:pPr>
    </w:p>
    <w:p>
      <w:pPr>
        <w:ind w:right="20" w:firstLine="807"/>
        <w:spacing w:after="0" w:line="236" w:lineRule="auto"/>
        <w:tabs>
          <w:tab w:leader="none" w:pos="1105"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Other than in connection with Substitute Awards,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87" w:lineRule="exact"/>
        <w:rPr>
          <w:rFonts w:ascii="Arial" w:cs="Arial" w:eastAsia="Arial" w:hAnsi="Arial"/>
          <w:sz w:val="22"/>
          <w:szCs w:val="22"/>
          <w:color w:val="auto"/>
        </w:rPr>
      </w:pPr>
    </w:p>
    <w:p>
      <w:pPr>
        <w:ind w:right="720" w:firstLine="807"/>
        <w:spacing w:after="0" w:line="251" w:lineRule="auto"/>
        <w:tabs>
          <w:tab w:leader="none" w:pos="1092"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Option Term</w:t>
      </w:r>
      <w:r>
        <w:rPr>
          <w:rFonts w:ascii="Arial" w:cs="Arial" w:eastAsia="Arial" w:hAnsi="Arial"/>
          <w:sz w:val="22"/>
          <w:szCs w:val="22"/>
          <w:color w:val="auto"/>
        </w:rPr>
        <w:t>. The term of each Stock Option shall be fixed by the Administrator, but no Stock Option shall be exercisable more than ten years after the date the Stock Option is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color w:val="auto"/>
        </w:rPr>
        <w:t>granted; provided, however, that, an Award Certificate may provide that, in the event that on the last business day of the term of a Stock Option (other than an Incentive Stock Option) (i) the exercise of the Stock Option is prohibited by applicable law or</w:t>
      </w:r>
    </w:p>
    <w:p>
      <w:pPr>
        <w:spacing w:after="0" w:line="2" w:lineRule="exact"/>
        <w:rPr>
          <w:sz w:val="20"/>
          <w:szCs w:val="20"/>
          <w:color w:val="auto"/>
        </w:rPr>
      </w:pPr>
    </w:p>
    <w:p>
      <w:pPr>
        <w:ind w:firstLine="8"/>
        <w:spacing w:after="0" w:line="245" w:lineRule="auto"/>
        <w:tabs>
          <w:tab w:leader="none" w:pos="318" w:val="left"/>
        </w:tabs>
        <w:numPr>
          <w:ilvl w:val="0"/>
          <w:numId w:val="45"/>
        </w:numPr>
        <w:rPr>
          <w:rFonts w:ascii="Arial" w:cs="Arial" w:eastAsia="Arial" w:hAnsi="Arial"/>
          <w:sz w:val="21"/>
          <w:szCs w:val="21"/>
          <w:color w:val="auto"/>
        </w:rPr>
      </w:pPr>
      <w:r>
        <w:rPr>
          <w:rFonts w:ascii="Arial" w:cs="Arial" w:eastAsia="Arial" w:hAnsi="Arial"/>
          <w:sz w:val="21"/>
          <w:szCs w:val="21"/>
          <w:color w:val="auto"/>
        </w:rPr>
        <w:t>shares of Stock may not be purchased or sold by certain employees or directors of the Company due to the “black-out period” of a Company policy or a “lock-up” agreement undertaken in connection with an issuance of securities by the Company, the term of the Stock Option shall be extended for a period of thirty (30) days following the end of the legal prohibition, black-out period or lock-up agreement, as applicable. In the case of an Incentive Stock Option that is granted to a Ten Percent Owner, the term of such Stock Option shall be no more than five years from the date of grant.</w:t>
      </w:r>
    </w:p>
    <w:p>
      <w:pPr>
        <w:spacing w:after="0" w:line="180" w:lineRule="exact"/>
        <w:rPr>
          <w:rFonts w:ascii="Arial" w:cs="Arial" w:eastAsia="Arial" w:hAnsi="Arial"/>
          <w:sz w:val="21"/>
          <w:szCs w:val="21"/>
          <w:color w:val="auto"/>
        </w:rPr>
      </w:pPr>
    </w:p>
    <w:p>
      <w:pPr>
        <w:ind w:firstLine="807"/>
        <w:spacing w:after="0" w:line="236" w:lineRule="auto"/>
        <w:tabs>
          <w:tab w:leader="none" w:pos="1105"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Exercisability; Rights of a Stockholder</w:t>
      </w:r>
      <w:r>
        <w:rPr>
          <w:rFonts w:ascii="Arial" w:cs="Arial" w:eastAsia="Arial" w:hAnsi="Arial"/>
          <w:sz w:val="22"/>
          <w:szCs w:val="22"/>
          <w:color w:val="auto"/>
        </w:rPr>
        <w:t>. Stock Options shall become exercisable at such time or times, whether or not in installments and/or subject to the achievement of Performance Goals,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7" w:lineRule="exact"/>
        <w:rPr>
          <w:rFonts w:ascii="Arial" w:cs="Arial" w:eastAsia="Arial" w:hAnsi="Arial"/>
          <w:sz w:val="22"/>
          <w:szCs w:val="22"/>
          <w:color w:val="auto"/>
        </w:rPr>
      </w:pPr>
    </w:p>
    <w:p>
      <w:pPr>
        <w:ind w:right="200" w:firstLine="807"/>
        <w:spacing w:after="0" w:line="258" w:lineRule="auto"/>
        <w:tabs>
          <w:tab w:leader="none" w:pos="1092"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66" w:lineRule="exact"/>
        <w:rPr>
          <w:rFonts w:ascii="Arial" w:cs="Arial" w:eastAsia="Arial" w:hAnsi="Arial"/>
          <w:sz w:val="21"/>
          <w:szCs w:val="21"/>
          <w:color w:val="auto"/>
        </w:rPr>
      </w:pPr>
    </w:p>
    <w:p>
      <w:pPr>
        <w:ind w:left="1180" w:hanging="259"/>
        <w:spacing w:after="0"/>
        <w:tabs>
          <w:tab w:leader="none" w:pos="1180" w:val="left"/>
        </w:tabs>
        <w:numPr>
          <w:ilvl w:val="2"/>
          <w:numId w:val="45"/>
        </w:numPr>
        <w:rPr>
          <w:rFonts w:ascii="Arial" w:cs="Arial" w:eastAsia="Arial" w:hAnsi="Arial"/>
          <w:sz w:val="22"/>
          <w:szCs w:val="22"/>
          <w:color w:val="auto"/>
        </w:rPr>
      </w:pPr>
      <w:r>
        <w:rPr>
          <w:rFonts w:ascii="Arial" w:cs="Arial" w:eastAsia="Arial" w:hAnsi="Arial"/>
          <w:sz w:val="22"/>
          <w:szCs w:val="22"/>
          <w:color w:val="auto"/>
        </w:rPr>
        <w:t>in cash, by certified or bank check or other instrument acceptable to the Administrator;</w:t>
      </w:r>
    </w:p>
    <w:p>
      <w:pPr>
        <w:spacing w:after="0" w:line="206" w:lineRule="exact"/>
        <w:rPr>
          <w:sz w:val="20"/>
          <w:szCs w:val="20"/>
          <w:color w:val="auto"/>
        </w:rPr>
      </w:pPr>
    </w:p>
    <w:p>
      <w:pPr>
        <w:ind w:right="340" w:firstLine="807"/>
        <w:spacing w:after="0"/>
        <w:tabs>
          <w:tab w:leader="none" w:pos="1117"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6" w:lineRule="exact"/>
        <w:rPr>
          <w:rFonts w:ascii="Arial" w:cs="Arial" w:eastAsia="Arial" w:hAnsi="Arial"/>
          <w:sz w:val="22"/>
          <w:szCs w:val="22"/>
          <w:color w:val="auto"/>
        </w:rPr>
      </w:pPr>
    </w:p>
    <w:p>
      <w:pPr>
        <w:ind w:right="140" w:firstLine="807"/>
        <w:spacing w:after="0" w:line="236" w:lineRule="auto"/>
        <w:tabs>
          <w:tab w:leader="none" w:pos="1177" w:val="left"/>
        </w:tabs>
        <w:numPr>
          <w:ilvl w:val="0"/>
          <w:numId w:val="46"/>
        </w:numPr>
        <w:rPr>
          <w:rFonts w:ascii="Arial" w:cs="Arial" w:eastAsia="Arial" w:hAnsi="Arial"/>
          <w:sz w:val="22"/>
          <w:szCs w:val="22"/>
          <w:color w:val="auto"/>
        </w:rPr>
      </w:pPr>
      <w:r>
        <w:rPr>
          <w:rFonts w:ascii="Arial" w:cs="Arial" w:eastAsia="Arial" w:hAnsi="Arial"/>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7" w:lineRule="exact"/>
        <w:rPr>
          <w:rFonts w:ascii="Arial" w:cs="Arial" w:eastAsia="Arial" w:hAnsi="Arial"/>
          <w:sz w:val="22"/>
          <w:szCs w:val="22"/>
          <w:color w:val="auto"/>
        </w:rPr>
      </w:pPr>
    </w:p>
    <w:p>
      <w:pPr>
        <w:ind w:right="40" w:firstLine="807"/>
        <w:spacing w:after="0"/>
        <w:tabs>
          <w:tab w:leader="none" w:pos="1165" w:val="left"/>
        </w:tabs>
        <w:numPr>
          <w:ilvl w:val="0"/>
          <w:numId w:val="46"/>
        </w:numPr>
        <w:rPr>
          <w:rFonts w:ascii="Arial" w:cs="Arial" w:eastAsia="Arial" w:hAnsi="Arial"/>
          <w:sz w:val="22"/>
          <w:szCs w:val="22"/>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6" w:lineRule="exact"/>
        <w:rPr>
          <w:sz w:val="20"/>
          <w:szCs w:val="20"/>
          <w:color w:val="auto"/>
        </w:rPr>
      </w:pPr>
    </w:p>
    <w:p>
      <w:pPr>
        <w:ind w:right="120" w:firstLine="799"/>
        <w:spacing w:after="0" w:line="251" w:lineRule="auto"/>
        <w:rPr>
          <w:sz w:val="20"/>
          <w:szCs w:val="20"/>
          <w:color w:val="auto"/>
        </w:rPr>
      </w:pPr>
      <w:r>
        <w:rPr>
          <w:rFonts w:ascii="Arial" w:cs="Arial" w:eastAsia="Arial" w:hAnsi="Arial"/>
          <w:sz w:val="22"/>
          <w:szCs w:val="22"/>
          <w:color w:val="auto"/>
        </w:rPr>
        <w:t>Payment instruments will be received subject to collection. The transfer to the optionee on the records of the Company or of the transfer agent of the shares of Stock to be purchased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Annual Limit on Incentive Stock Options</w:t>
      </w:r>
      <w:r>
        <w:rPr>
          <w:rFonts w:ascii="Arial" w:cs="Arial" w:eastAsia="Arial" w:hAnsi="Arial"/>
          <w:sz w:val="22"/>
          <w:szCs w:val="22"/>
          <w:color w:val="auto"/>
        </w:rPr>
        <w:t>. To the extent required for “incentive stock option” treatment under</w:t>
      </w:r>
    </w:p>
    <w:p>
      <w:pPr>
        <w:spacing w:after="0" w:line="8"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Section 422 of the Code, the aggregate Fair Market Value (determined as of the time of grant) of the shares of Stock with respect to which Incentive Stock Options granted under the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STOCK APPRECIATION RIGHTS</w:t>
      </w:r>
    </w:p>
    <w:p>
      <w:pPr>
        <w:spacing w:after="0" w:line="206" w:lineRule="exact"/>
        <w:rPr>
          <w:sz w:val="20"/>
          <w:szCs w:val="20"/>
          <w:color w:val="auto"/>
        </w:rPr>
      </w:pPr>
    </w:p>
    <w:p>
      <w:pPr>
        <w:ind w:right="60" w:firstLine="807"/>
        <w:spacing w:after="0" w:line="287" w:lineRule="auto"/>
        <w:tabs>
          <w:tab w:leader="none" w:pos="109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Award of Stock Appreciation Rights</w:t>
      </w:r>
      <w:r>
        <w:rPr>
          <w:rFonts w:ascii="Arial" w:cs="Arial" w:eastAsia="Arial" w:hAnsi="Arial"/>
          <w:sz w:val="19"/>
          <w:szCs w:val="19"/>
          <w:color w:val="auto"/>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43" w:lineRule="exact"/>
        <w:rPr>
          <w:rFonts w:ascii="Arial" w:cs="Arial" w:eastAsia="Arial" w:hAnsi="Arial"/>
          <w:sz w:val="19"/>
          <w:szCs w:val="19"/>
          <w:color w:val="auto"/>
        </w:rPr>
      </w:pPr>
    </w:p>
    <w:p>
      <w:pPr>
        <w:ind w:right="160" w:firstLine="807"/>
        <w:spacing w:after="0" w:line="328" w:lineRule="auto"/>
        <w:tabs>
          <w:tab w:leader="none" w:pos="110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Exercise Price of Stock Appreciation Rights</w:t>
      </w:r>
      <w:r>
        <w:rPr>
          <w:rFonts w:ascii="Arial" w:cs="Arial" w:eastAsia="Arial" w:hAnsi="Arial"/>
          <w:sz w:val="19"/>
          <w:szCs w:val="19"/>
          <w:color w:val="auto"/>
        </w:rPr>
        <w:t>. Other than in connection with Substitute Awards, the exercise price of a Stock Appreciation Right shall not be less than 100 percent of the Fair Market Value of the Stock on the date of grant.</w:t>
      </w:r>
    </w:p>
    <w:p>
      <w:pPr>
        <w:spacing w:after="0" w:line="105" w:lineRule="exact"/>
        <w:rPr>
          <w:rFonts w:ascii="Arial" w:cs="Arial" w:eastAsia="Arial" w:hAnsi="Arial"/>
          <w:sz w:val="19"/>
          <w:szCs w:val="19"/>
          <w:color w:val="auto"/>
        </w:rPr>
      </w:pPr>
    </w:p>
    <w:p>
      <w:pPr>
        <w:ind w:right="420" w:firstLine="807"/>
        <w:spacing w:after="0" w:line="251" w:lineRule="auto"/>
        <w:tabs>
          <w:tab w:leader="none" w:pos="109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w:t>
      </w:r>
    </w:p>
    <w:p>
      <w:pPr>
        <w:spacing w:after="0" w:line="173" w:lineRule="exact"/>
        <w:rPr>
          <w:rFonts w:ascii="Arial" w:cs="Arial" w:eastAsia="Arial" w:hAnsi="Arial"/>
          <w:sz w:val="22"/>
          <w:szCs w:val="22"/>
          <w:color w:val="auto"/>
        </w:rPr>
      </w:pPr>
    </w:p>
    <w:p>
      <w:pPr>
        <w:ind w:right="20" w:firstLine="807"/>
        <w:spacing w:after="0" w:line="235" w:lineRule="auto"/>
        <w:tabs>
          <w:tab w:leader="none" w:pos="1105"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from time to time by the Administrator. The term of a Stock Appreciation Right may not exceed ten years; provided, however, that, an Award Certificate may provide that, in the event that on the last business day of the term of a Stock Appreciation Right (i) the exercise of the Stock Appreciation Right is prohibited by applicable law or (ii) shares of Stock may not be purchased or sold by certain employees or directors of the Company due to the “black-out period” of a Company policy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a “lock-up” agreement undertaken in connection with an issuance of securities by the Company, the term shall be extended for a period of thirty (30) days following the end of the legal prohibition, black-out period or lock-up agreement, as applicable.</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RESTRICTED STOCK AWARDS</w:t>
      </w:r>
    </w:p>
    <w:p>
      <w:pPr>
        <w:spacing w:after="0" w:line="206" w:lineRule="exact"/>
        <w:rPr>
          <w:sz w:val="20"/>
          <w:szCs w:val="20"/>
          <w:color w:val="auto"/>
        </w:rPr>
      </w:pPr>
    </w:p>
    <w:p>
      <w:pPr>
        <w:ind w:firstLine="807"/>
        <w:spacing w:after="0" w:line="282" w:lineRule="auto"/>
        <w:tabs>
          <w:tab w:leader="none" w:pos="1092"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Awards</w:t>
      </w:r>
      <w:r>
        <w:rPr>
          <w:rFonts w:ascii="Arial" w:cs="Arial" w:eastAsia="Arial" w:hAnsi="Arial"/>
          <w:sz w:val="19"/>
          <w:szCs w:val="19"/>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47" w:lineRule="exact"/>
        <w:rPr>
          <w:rFonts w:ascii="Arial" w:cs="Arial" w:eastAsia="Arial" w:hAnsi="Arial"/>
          <w:sz w:val="19"/>
          <w:szCs w:val="19"/>
          <w:color w:val="auto"/>
        </w:rPr>
      </w:pPr>
    </w:p>
    <w:p>
      <w:pPr>
        <w:ind w:firstLine="807"/>
        <w:spacing w:after="0" w:line="269" w:lineRule="auto"/>
        <w:tabs>
          <w:tab w:leader="none" w:pos="1105"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5" w:lineRule="exact"/>
        <w:rPr>
          <w:rFonts w:ascii="Arial" w:cs="Arial" w:eastAsia="Arial" w:hAnsi="Arial"/>
          <w:sz w:val="19"/>
          <w:szCs w:val="19"/>
          <w:color w:val="auto"/>
        </w:rPr>
      </w:pPr>
    </w:p>
    <w:p>
      <w:pPr>
        <w:ind w:right="40" w:firstLine="8"/>
        <w:spacing w:after="0" w:line="234" w:lineRule="auto"/>
        <w:tabs>
          <w:tab w:leader="none" w:pos="318" w:val="left"/>
        </w:tabs>
        <w:numPr>
          <w:ilvl w:val="0"/>
          <w:numId w:val="49"/>
        </w:numPr>
        <w:rPr>
          <w:rFonts w:ascii="Arial" w:cs="Arial" w:eastAsia="Arial" w:hAnsi="Arial"/>
          <w:sz w:val="22"/>
          <w:szCs w:val="22"/>
          <w:color w:val="auto"/>
        </w:rPr>
      </w:pPr>
      <w:r>
        <w:rPr>
          <w:rFonts w:ascii="Arial" w:cs="Arial" w:eastAsia="Arial" w:hAnsi="Arial"/>
          <w:sz w:val="22"/>
          <w:szCs w:val="22"/>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7" w:lineRule="exact"/>
        <w:rPr>
          <w:rFonts w:ascii="Arial" w:cs="Arial" w:eastAsia="Arial" w:hAnsi="Arial"/>
          <w:sz w:val="22"/>
          <w:szCs w:val="22"/>
          <w:color w:val="auto"/>
        </w:rPr>
      </w:pPr>
    </w:p>
    <w:p>
      <w:pPr>
        <w:ind w:right="20" w:firstLine="807"/>
        <w:spacing w:after="0" w:line="273" w:lineRule="auto"/>
        <w:tabs>
          <w:tab w:leader="none" w:pos="1092"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17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807"/>
        <w:spacing w:after="0" w:line="249" w:lineRule="auto"/>
        <w:tabs>
          <w:tab w:leader="none" w:pos="1105"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RESTRICTED STOCK UNITS</w:t>
      </w:r>
    </w:p>
    <w:p>
      <w:pPr>
        <w:spacing w:after="0" w:line="206" w:lineRule="exact"/>
        <w:rPr>
          <w:sz w:val="20"/>
          <w:szCs w:val="20"/>
          <w:color w:val="auto"/>
        </w:rPr>
      </w:pPr>
    </w:p>
    <w:p>
      <w:pPr>
        <w:ind w:right="80" w:firstLine="807"/>
        <w:spacing w:after="0" w:line="273" w:lineRule="auto"/>
        <w:tabs>
          <w:tab w:leader="none" w:pos="109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Units</w:t>
      </w:r>
      <w:r>
        <w:rPr>
          <w:rFonts w:ascii="Arial" w:cs="Arial" w:eastAsia="Arial" w:hAnsi="Arial"/>
          <w:sz w:val="19"/>
          <w:szCs w:val="19"/>
          <w:color w:val="auto"/>
        </w:rPr>
        <w:t>. The Administrator may grant Restricted Stock Units under the Plan. A Restricted Stock Unit is an Award of stock units that may be settled in shares of Stock (or, if determined by the Administrator, the cash equivalent based on the Fair Market Value of such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if determined by the Administrator, the cash equivalent based on the Fair Market Value of such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56" w:lineRule="exact"/>
        <w:rPr>
          <w:rFonts w:ascii="Arial" w:cs="Arial" w:eastAsia="Arial" w:hAnsi="Arial"/>
          <w:sz w:val="19"/>
          <w:szCs w:val="19"/>
          <w:color w:val="auto"/>
        </w:rPr>
      </w:pPr>
    </w:p>
    <w:p>
      <w:pPr>
        <w:ind w:right="80" w:firstLine="807"/>
        <w:spacing w:after="0" w:line="273" w:lineRule="auto"/>
        <w:tabs>
          <w:tab w:leader="none" w:pos="110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61" w:lineRule="exact"/>
        <w:rPr>
          <w:rFonts w:ascii="Arial" w:cs="Arial" w:eastAsia="Arial" w:hAnsi="Arial"/>
          <w:sz w:val="19"/>
          <w:szCs w:val="19"/>
          <w:color w:val="auto"/>
        </w:rPr>
      </w:pPr>
    </w:p>
    <w:p>
      <w:pPr>
        <w:ind w:right="80" w:firstLine="807"/>
        <w:spacing w:after="0" w:line="238" w:lineRule="auto"/>
        <w:tabs>
          <w:tab w:leader="none" w:pos="109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12 and such terms and conditions as the Administrator may determine.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firstLine="807"/>
        <w:spacing w:after="0" w:line="238" w:lineRule="auto"/>
        <w:tabs>
          <w:tab w:leader="none" w:pos="1105"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17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UNRESTRICTED STOCK AWARDS</w:t>
      </w:r>
    </w:p>
    <w:p>
      <w:pPr>
        <w:spacing w:after="0" w:line="206" w:lineRule="exact"/>
        <w:rPr>
          <w:sz w:val="20"/>
          <w:szCs w:val="20"/>
          <w:color w:val="auto"/>
        </w:rPr>
      </w:pPr>
    </w:p>
    <w:p>
      <w:pPr>
        <w:ind w:firstLine="799"/>
        <w:spacing w:after="0" w:line="28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CASH-BASED AWARDS</w:t>
      </w:r>
    </w:p>
    <w:p>
      <w:pPr>
        <w:spacing w:after="0" w:line="206" w:lineRule="exact"/>
        <w:rPr>
          <w:sz w:val="20"/>
          <w:szCs w:val="20"/>
          <w:color w:val="auto"/>
        </w:rPr>
      </w:pPr>
    </w:p>
    <w:p>
      <w:pPr>
        <w:ind w:firstLine="799"/>
        <w:spacing w:after="0" w:line="247" w:lineRule="auto"/>
        <w:rPr>
          <w:sz w:val="20"/>
          <w:szCs w:val="20"/>
          <w:color w:val="auto"/>
        </w:rPr>
      </w:pPr>
      <w:r>
        <w:rPr>
          <w:rFonts w:ascii="Arial" w:cs="Arial" w:eastAsia="Arial" w:hAnsi="Arial"/>
          <w:sz w:val="21"/>
          <w:szCs w:val="21"/>
          <w:u w:val="single" w:color="auto"/>
          <w:color w:val="auto"/>
        </w:rPr>
        <w:t>Grant of Cash-Based Awards</w:t>
      </w:r>
      <w:r>
        <w:rPr>
          <w:rFonts w:ascii="Arial" w:cs="Arial" w:eastAsia="Arial" w:hAnsi="Arial"/>
          <w:sz w:val="21"/>
          <w:szCs w:val="21"/>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PERFORMANCE SHARE AWARDS</w:t>
      </w:r>
    </w:p>
    <w:p>
      <w:pPr>
        <w:spacing w:after="0" w:line="206" w:lineRule="exact"/>
        <w:rPr>
          <w:sz w:val="20"/>
          <w:szCs w:val="20"/>
          <w:color w:val="auto"/>
        </w:rPr>
      </w:pPr>
    </w:p>
    <w:p>
      <w:pPr>
        <w:ind w:right="140" w:firstLine="807"/>
        <w:spacing w:after="0" w:line="282" w:lineRule="auto"/>
        <w:tabs>
          <w:tab w:leader="none" w:pos="109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Nature of Performance Share Awards</w:t>
      </w:r>
      <w:r>
        <w:rPr>
          <w:rFonts w:ascii="Arial" w:cs="Arial" w:eastAsia="Arial" w:hAnsi="Arial"/>
          <w:sz w:val="19"/>
          <w:szCs w:val="19"/>
          <w:color w:val="auto"/>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47" w:lineRule="exact"/>
        <w:rPr>
          <w:rFonts w:ascii="Arial" w:cs="Arial" w:eastAsia="Arial" w:hAnsi="Arial"/>
          <w:sz w:val="19"/>
          <w:szCs w:val="19"/>
          <w:color w:val="auto"/>
        </w:rPr>
      </w:pPr>
    </w:p>
    <w:p>
      <w:pPr>
        <w:ind w:firstLine="807"/>
        <w:spacing w:after="0" w:line="236" w:lineRule="auto"/>
        <w:tabs>
          <w:tab w:leader="none" w:pos="1105"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firstLine="921"/>
        <w:spacing w:after="0" w:line="238" w:lineRule="auto"/>
        <w:tabs>
          <w:tab w:leader="none" w:pos="1207"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agreement or, subject to Section 17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DIVIDEND EQUIVALENT RIGHTS</w:t>
      </w:r>
    </w:p>
    <w:p>
      <w:pPr>
        <w:spacing w:after="0" w:line="206" w:lineRule="exact"/>
        <w:rPr>
          <w:sz w:val="20"/>
          <w:szCs w:val="20"/>
          <w:color w:val="auto"/>
        </w:rPr>
      </w:pPr>
    </w:p>
    <w:p>
      <w:pPr>
        <w:ind w:right="20" w:firstLine="807"/>
        <w:spacing w:after="0" w:line="272" w:lineRule="auto"/>
        <w:tabs>
          <w:tab w:leader="none" w:pos="1092"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57" w:lineRule="exact"/>
        <w:rPr>
          <w:rFonts w:ascii="Arial" w:cs="Arial" w:eastAsia="Arial" w:hAnsi="Arial"/>
          <w:sz w:val="19"/>
          <w:szCs w:val="19"/>
          <w:color w:val="auto"/>
        </w:rPr>
      </w:pPr>
    </w:p>
    <w:p>
      <w:pPr>
        <w:ind w:right="200" w:firstLine="807"/>
        <w:spacing w:after="0" w:line="238" w:lineRule="auto"/>
        <w:tabs>
          <w:tab w:leader="none" w:pos="110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17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TRANSFERABILITY OF AWARDS</w:t>
      </w:r>
    </w:p>
    <w:p>
      <w:pPr>
        <w:spacing w:after="0" w:line="206" w:lineRule="exact"/>
        <w:rPr>
          <w:sz w:val="20"/>
          <w:szCs w:val="20"/>
          <w:color w:val="auto"/>
        </w:rPr>
      </w:pPr>
    </w:p>
    <w:p>
      <w:pPr>
        <w:ind w:firstLine="807"/>
        <w:spacing w:after="0" w:line="282" w:lineRule="auto"/>
        <w:tabs>
          <w:tab w:leader="none" w:pos="109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13(b)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7" w:lineRule="exact"/>
        <w:rPr>
          <w:rFonts w:ascii="Arial" w:cs="Arial" w:eastAsia="Arial" w:hAnsi="Arial"/>
          <w:sz w:val="19"/>
          <w:szCs w:val="19"/>
          <w:color w:val="auto"/>
        </w:rPr>
      </w:pPr>
    </w:p>
    <w:p>
      <w:pPr>
        <w:ind w:right="320" w:firstLine="807"/>
        <w:spacing w:after="0" w:line="251" w:lineRule="auto"/>
        <w:tabs>
          <w:tab w:leader="none" w:pos="110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Administrator Action</w:t>
      </w:r>
      <w:r>
        <w:rPr>
          <w:rFonts w:ascii="Arial" w:cs="Arial" w:eastAsia="Arial" w:hAnsi="Arial"/>
          <w:sz w:val="22"/>
          <w:szCs w:val="22"/>
          <w:color w:val="auto"/>
        </w:rPr>
        <w:t>. Notwithstanding Section 13(a), the Administrator, in its discretion, may provide either in the Award Certificate regarding a given Award or by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the Plan and the applicable Award. In no event may an Award be transferred by a grantee for value.</w:t>
      </w:r>
    </w:p>
    <w:p>
      <w:pPr>
        <w:spacing w:after="0" w:line="143" w:lineRule="exact"/>
        <w:rPr>
          <w:sz w:val="20"/>
          <w:szCs w:val="20"/>
          <w:color w:val="auto"/>
        </w:rPr>
      </w:pPr>
    </w:p>
    <w:p>
      <w:pPr>
        <w:ind w:right="20" w:firstLine="921"/>
        <w:spacing w:after="0" w:line="248" w:lineRule="auto"/>
        <w:tabs>
          <w:tab w:leader="none" w:pos="1207"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Family Member</w:t>
      </w:r>
      <w:r>
        <w:rPr>
          <w:rFonts w:ascii="Arial" w:cs="Arial" w:eastAsia="Arial" w:hAnsi="Arial"/>
          <w:sz w:val="21"/>
          <w:szCs w:val="21"/>
          <w:color w:val="auto"/>
        </w:rPr>
        <w:t>. For purposes of Section 13(b),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7" w:lineRule="exact"/>
        <w:rPr>
          <w:rFonts w:ascii="Arial" w:cs="Arial" w:eastAsia="Arial" w:hAnsi="Arial"/>
          <w:sz w:val="21"/>
          <w:szCs w:val="21"/>
          <w:color w:val="auto"/>
        </w:rPr>
      </w:pPr>
    </w:p>
    <w:p>
      <w:pPr>
        <w:ind w:firstLine="807"/>
        <w:spacing w:after="0" w:line="248" w:lineRule="auto"/>
        <w:tabs>
          <w:tab w:leader="none" w:pos="1105"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Designation of Beneficiary</w:t>
      </w:r>
      <w:r>
        <w:rPr>
          <w:rFonts w:ascii="Arial" w:cs="Arial" w:eastAsia="Arial" w:hAnsi="Arial"/>
          <w:sz w:val="21"/>
          <w:szCs w:val="21"/>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or if the beneficiary designation is deemed ambiguous, incomplete or invalid by the Administrator, the beneficiary shall be the grantee’s estate.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TAX WITHHOLDING</w:t>
      </w:r>
    </w:p>
    <w:p>
      <w:pPr>
        <w:spacing w:after="0" w:line="206" w:lineRule="exact"/>
        <w:rPr>
          <w:sz w:val="20"/>
          <w:szCs w:val="20"/>
          <w:color w:val="auto"/>
        </w:rPr>
      </w:pPr>
    </w:p>
    <w:p>
      <w:pPr>
        <w:ind w:firstLine="807"/>
        <w:spacing w:after="0" w:line="247" w:lineRule="auto"/>
        <w:tabs>
          <w:tab w:leader="none" w:pos="1092"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Payment by Grantee</w:t>
      </w:r>
      <w:r>
        <w:rPr>
          <w:rFonts w:ascii="Arial" w:cs="Arial" w:eastAsia="Arial" w:hAnsi="Arial"/>
          <w:sz w:val="21"/>
          <w:szCs w:val="21"/>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78" w:lineRule="exact"/>
        <w:rPr>
          <w:rFonts w:ascii="Arial" w:cs="Arial" w:eastAsia="Arial" w:hAnsi="Arial"/>
          <w:sz w:val="21"/>
          <w:szCs w:val="21"/>
          <w:color w:val="auto"/>
        </w:rPr>
      </w:pPr>
    </w:p>
    <w:p>
      <w:pPr>
        <w:ind w:right="100" w:firstLine="807"/>
        <w:spacing w:after="0" w:line="282" w:lineRule="auto"/>
        <w:tabs>
          <w:tab w:leader="none" w:pos="1105"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Subject to approval by the Administrator, a grantee may elect to have the Company’s minimum required tax withholding obligation satisfied (or, if and when the Company adopts any applicable accounting standard allowing for greater share withholding, up to such withholding rate that will not cause an adverse accounting consequence or cost and is permitted under applicable tax rules), in whole or in part, by authorizing the Company to withhold from shares of Stock to be issued pursuant to any Award a number of shares with an aggregate Fair Market Value (as of the date the withholding is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260"/>
        <w:spacing w:after="0" w:line="297" w:lineRule="auto"/>
        <w:rPr>
          <w:sz w:val="20"/>
          <w:szCs w:val="20"/>
          <w:color w:val="auto"/>
        </w:rPr>
      </w:pPr>
      <w:r>
        <w:rPr>
          <w:rFonts w:ascii="Arial" w:cs="Arial" w:eastAsia="Arial" w:hAnsi="Arial"/>
          <w:sz w:val="19"/>
          <w:szCs w:val="19"/>
          <w:color w:val="auto"/>
        </w:rPr>
        <w:t>effected) that would satisfy the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grantees.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SECTION 409A AWARDS</w:t>
      </w:r>
    </w:p>
    <w:p>
      <w:pPr>
        <w:spacing w:after="0" w:line="206" w:lineRule="exact"/>
        <w:rPr>
          <w:sz w:val="20"/>
          <w:szCs w:val="20"/>
          <w:color w:val="auto"/>
        </w:rPr>
      </w:pPr>
    </w:p>
    <w:p>
      <w:pPr>
        <w:ind w:right="120" w:firstLine="799"/>
        <w:spacing w:after="0" w:line="269" w:lineRule="auto"/>
        <w:rPr>
          <w:sz w:val="20"/>
          <w:szCs w:val="20"/>
          <w:color w:val="auto"/>
        </w:rPr>
      </w:pPr>
      <w:r>
        <w:rPr>
          <w:rFonts w:ascii="Arial" w:cs="Arial" w:eastAsia="Arial" w:hAnsi="Arial"/>
          <w:sz w:val="19"/>
          <w:szCs w:val="19"/>
          <w:color w:val="auto"/>
        </w:rPr>
        <w:t>To the extent that any Award is determined to constitute “nonqualified deferred compensation” within the meaning of Section 409A (a “</w:t>
      </w:r>
      <w:r>
        <w:rPr>
          <w:rFonts w:ascii="Arial" w:cs="Arial" w:eastAsia="Arial" w:hAnsi="Arial"/>
          <w:sz w:val="19"/>
          <w:szCs w:val="19"/>
          <w:u w:val="single" w:color="auto"/>
          <w:color w:val="auto"/>
        </w:rPr>
        <w:t>409A Award</w:t>
      </w:r>
      <w:r>
        <w:rPr>
          <w:rFonts w:ascii="Arial" w:cs="Arial" w:eastAsia="Arial" w:hAnsi="Arial"/>
          <w:sz w:val="19"/>
          <w:szCs w:val="19"/>
          <w:color w:val="auto"/>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Section 409A. Further, the settlement of any such Award may not be accelerated except to the extent permitted by Section 409A. For the avoidance of doubt, the Company is not required to indemnify or reimburse a grantee for any taxes or penalties that may be imposed on an Award due to non-compliance with the requirements of Section 409A.</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TERMINATION OF EMPLOYMENT, TRANSFER, LEAVE OF ABSENCE, ETC.</w:t>
      </w:r>
    </w:p>
    <w:p>
      <w:pPr>
        <w:spacing w:after="0" w:line="206" w:lineRule="exact"/>
        <w:rPr>
          <w:sz w:val="20"/>
          <w:szCs w:val="20"/>
          <w:color w:val="auto"/>
        </w:rPr>
      </w:pPr>
    </w:p>
    <w:p>
      <w:pPr>
        <w:ind w:right="140" w:firstLine="807"/>
        <w:spacing w:after="0" w:line="251" w:lineRule="auto"/>
        <w:tabs>
          <w:tab w:leader="none" w:pos="109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grantee’s employer ceases to be a Subsidiary, the grantee shall be deemed to have terminated employment for purposes of the Plan.</w:t>
      </w:r>
    </w:p>
    <w:p>
      <w:pPr>
        <w:spacing w:after="0" w:line="173" w:lineRule="exact"/>
        <w:rPr>
          <w:rFonts w:ascii="Arial" w:cs="Arial" w:eastAsia="Arial" w:hAnsi="Arial"/>
          <w:sz w:val="22"/>
          <w:szCs w:val="22"/>
          <w:color w:val="auto"/>
        </w:rPr>
      </w:pPr>
    </w:p>
    <w:p>
      <w:pPr>
        <w:ind w:left="1120" w:hanging="313"/>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For purposes of the Plan, the following events shall not be deemed a termination of employment:</w:t>
      </w:r>
    </w:p>
    <w:p>
      <w:pPr>
        <w:spacing w:after="0" w:line="206" w:lineRule="exact"/>
        <w:rPr>
          <w:sz w:val="20"/>
          <w:szCs w:val="20"/>
          <w:color w:val="auto"/>
        </w:rPr>
      </w:pPr>
    </w:p>
    <w:p>
      <w:pPr>
        <w:ind w:right="380" w:firstLine="807"/>
        <w:spacing w:after="0" w:line="251" w:lineRule="auto"/>
        <w:tabs>
          <w:tab w:leader="none" w:pos="1057"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 Subsidiary or from the Company to a Subsidiary, or from one Subsidiary to another; or</w:t>
      </w:r>
    </w:p>
    <w:p>
      <w:pPr>
        <w:spacing w:after="0" w:line="173" w:lineRule="exact"/>
        <w:rPr>
          <w:rFonts w:ascii="Arial" w:cs="Arial" w:eastAsia="Arial" w:hAnsi="Arial"/>
          <w:sz w:val="22"/>
          <w:szCs w:val="22"/>
          <w:color w:val="auto"/>
        </w:rPr>
      </w:pPr>
    </w:p>
    <w:p>
      <w:pPr>
        <w:ind w:right="220" w:firstLine="807"/>
        <w:spacing w:after="0" w:line="258" w:lineRule="auto"/>
        <w:tabs>
          <w:tab w:leader="none" w:pos="1117" w:val="left"/>
        </w:tabs>
        <w:numPr>
          <w:ilvl w:val="0"/>
          <w:numId w:val="61"/>
        </w:numPr>
        <w:rPr>
          <w:rFonts w:ascii="Arial" w:cs="Arial" w:eastAsia="Arial" w:hAnsi="Arial"/>
          <w:sz w:val="21"/>
          <w:szCs w:val="21"/>
          <w:color w:val="auto"/>
        </w:rPr>
      </w:pPr>
      <w:r>
        <w:rPr>
          <w:rFonts w:ascii="Arial" w:cs="Arial" w:eastAsia="Arial" w:hAnsi="Arial"/>
          <w:sz w:val="21"/>
          <w:szCs w:val="21"/>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AMENDMENTS AND TERMINATION</w:t>
      </w:r>
    </w:p>
    <w:p>
      <w:pPr>
        <w:spacing w:after="0" w:line="206" w:lineRule="exact"/>
        <w:rPr>
          <w:sz w:val="20"/>
          <w:szCs w:val="20"/>
          <w:color w:val="auto"/>
        </w:rPr>
      </w:pPr>
    </w:p>
    <w:p>
      <w:pPr>
        <w:jc w:val="both"/>
        <w:ind w:right="60" w:firstLine="799"/>
        <w:spacing w:after="0" w:line="297"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materially adversely affect rights under any outstanding Award without the holder’s consent. Except as provided in</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Section 3(b) or 3(c), without prior stockholder approval, in no event may the Administrator (a) lower the exercise price of a Stock Option or Stock Appreciation Right, (b) cancel a Stock Option or Stock Appreciation Right when the exercise price exceeds the Fair Market Value in exchange for cash or another Award, or (c) take any other action with respect to a Stock Option or Stock Appreciation Right that would be treated as a repricing under the rules and regulations of the principal U.S. national securities exchange on which the shares of Stock are listed.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any amendments to the Plan shall be subject to approval by the Company stockholders entitled to vote at a meeting of stockholders. Nothing in this Section 17 shall limit the Administrator’s authority to take any action permitted pursuant to Section 3(b) or 3(c).</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STATUS OF PLAN</w:t>
      </w:r>
    </w:p>
    <w:p>
      <w:pPr>
        <w:spacing w:after="0" w:line="206" w:lineRule="exact"/>
        <w:rPr>
          <w:sz w:val="20"/>
          <w:szCs w:val="20"/>
          <w:color w:val="auto"/>
        </w:rPr>
      </w:pPr>
    </w:p>
    <w:p>
      <w:pPr>
        <w:ind w:right="320" w:firstLine="799"/>
        <w:spacing w:after="0" w:line="248"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GENERAL PROVISIONS</w:t>
      </w:r>
    </w:p>
    <w:p>
      <w:pPr>
        <w:spacing w:after="0" w:line="206" w:lineRule="exact"/>
        <w:rPr>
          <w:sz w:val="20"/>
          <w:szCs w:val="20"/>
          <w:color w:val="auto"/>
        </w:rPr>
      </w:pPr>
    </w:p>
    <w:p>
      <w:pPr>
        <w:ind w:right="100" w:firstLine="807"/>
        <w:spacing w:after="0" w:line="328" w:lineRule="auto"/>
        <w:tabs>
          <w:tab w:leader="none" w:pos="109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105" w:lineRule="exact"/>
        <w:rPr>
          <w:rFonts w:ascii="Arial" w:cs="Arial" w:eastAsia="Arial" w:hAnsi="Arial"/>
          <w:sz w:val="19"/>
          <w:szCs w:val="19"/>
          <w:color w:val="auto"/>
        </w:rPr>
      </w:pPr>
    </w:p>
    <w:p>
      <w:pPr>
        <w:ind w:firstLine="807"/>
        <w:spacing w:after="0" w:line="273" w:lineRule="auto"/>
        <w:tabs>
          <w:tab w:leader="none" w:pos="110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85" w:lineRule="exact"/>
        <w:rPr>
          <w:sz w:val="20"/>
          <w:szCs w:val="20"/>
          <w:color w:val="auto"/>
        </w:rPr>
      </w:pPr>
    </w:p>
    <w:p>
      <w:pPr>
        <w:ind w:right="260" w:firstLine="807"/>
        <w:spacing w:after="0" w:line="297" w:lineRule="auto"/>
        <w:tabs>
          <w:tab w:leader="none" w:pos="1092"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19(b),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4" w:lineRule="exact"/>
        <w:rPr>
          <w:rFonts w:ascii="Arial" w:cs="Arial" w:eastAsia="Arial" w:hAnsi="Arial"/>
          <w:sz w:val="19"/>
          <w:szCs w:val="19"/>
          <w:color w:val="auto"/>
        </w:rPr>
      </w:pPr>
    </w:p>
    <w:p>
      <w:pPr>
        <w:ind w:right="140" w:firstLine="807"/>
        <w:spacing w:after="0" w:line="238" w:lineRule="auto"/>
        <w:tabs>
          <w:tab w:leader="none" w:pos="1105"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Other Compensation Arrangements; No Employment Rights</w:t>
      </w:r>
      <w:r>
        <w:rPr>
          <w:rFonts w:ascii="Arial" w:cs="Arial" w:eastAsia="Arial" w:hAnsi="Arial"/>
          <w:sz w:val="22"/>
          <w:szCs w:val="22"/>
          <w:color w:val="auto"/>
        </w:rPr>
        <w:t>. Nothing contained in the Plan shall prevent the Board from adopting other or additional compensation arrangements, including trusts, and such arrangements may be either generally applicable or applicable only in specific cases. The adoption of the Plan and the grant of Awards do not confer upon any employee any right to continued employment with the Company or any Subsidiary.</w:t>
      </w:r>
    </w:p>
    <w:p>
      <w:pPr>
        <w:spacing w:after="0" w:line="185" w:lineRule="exact"/>
        <w:rPr>
          <w:sz w:val="20"/>
          <w:szCs w:val="20"/>
          <w:color w:val="auto"/>
        </w:rPr>
      </w:pPr>
    </w:p>
    <w:p>
      <w:pPr>
        <w:ind w:right="440" w:firstLine="921"/>
        <w:spacing w:after="0" w:line="251" w:lineRule="auto"/>
        <w:tabs>
          <w:tab w:leader="none" w:pos="1207"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73" w:lineRule="exact"/>
        <w:rPr>
          <w:rFonts w:ascii="Arial" w:cs="Arial" w:eastAsia="Arial" w:hAnsi="Arial"/>
          <w:sz w:val="22"/>
          <w:szCs w:val="22"/>
          <w:color w:val="auto"/>
        </w:rPr>
      </w:pPr>
    </w:p>
    <w:p>
      <w:pPr>
        <w:ind w:left="1080" w:hanging="273"/>
        <w:spacing w:after="0"/>
        <w:tabs>
          <w:tab w:leader="none" w:pos="108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Awards under the Plan shall be subject to the Company’s clawback policy, as in effect from time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EFFECTIVE DATE OF PLAN</w:t>
      </w:r>
    </w:p>
    <w:p>
      <w:pPr>
        <w:spacing w:after="0" w:line="206" w:lineRule="exact"/>
        <w:rPr>
          <w:sz w:val="20"/>
          <w:szCs w:val="20"/>
          <w:color w:val="auto"/>
        </w:rPr>
      </w:pPr>
    </w:p>
    <w:p>
      <w:pPr>
        <w:ind w:firstLine="799"/>
        <w:spacing w:after="0" w:line="279" w:lineRule="auto"/>
        <w:rPr>
          <w:sz w:val="20"/>
          <w:szCs w:val="20"/>
          <w:color w:val="auto"/>
        </w:rPr>
      </w:pPr>
      <w:r>
        <w:rPr>
          <w:rFonts w:ascii="Arial" w:cs="Arial" w:eastAsia="Arial" w:hAnsi="Arial"/>
          <w:sz w:val="19"/>
          <w:szCs w:val="19"/>
          <w:color w:val="auto"/>
        </w:rPr>
        <w:t>The Plan shall become effective upon stockholder approval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 For the avoidance of doubt, this second amendment and restatement is not intended, and shall not be interpreted to, modify any Awards granted prior to June [25], 2018 to the extent such modification would result in a loss of deductibility under Section 162(m) of the Code.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GOVERNING LAW</w:t>
      </w:r>
    </w:p>
    <w:p>
      <w:pPr>
        <w:spacing w:after="0" w:line="206"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The Plan and all Awards and actions taken thereunder shall be governed by, and construed in accordance with, the laws of the State of Delaware applied without regard to conflict of law principles.</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DATE APPROVED BY BOARD OF DIRECTORS: March 29, 2018</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DATE APPROVED BY STOCKHOLDERS: June [25], 2018</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9098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220345</wp:posOffset>
            </wp:positionV>
            <wp:extent cx="7031990" cy="9098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1990" cy="909891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7"/>
    </w:lvl>
  </w:abstractNum>
  <w:abstractNum w:abstractNumId="5">
    <w:nsid w:val="440BADFC"/>
    <w:multiLevelType w:val="hybridMultilevel"/>
    <w:lvl w:ilvl="0">
      <w:lvlJc w:val="left"/>
      <w:lvlText w:val="(%1)"/>
      <w:numFmt w:val="decimal"/>
      <w:start w:val="6"/>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3"/>
    </w:lvl>
  </w:abstractNum>
  <w:abstractNum w:abstractNumId="12">
    <w:nsid w:val="5E884ADC"/>
    <w:multiLevelType w:val="hybridMultilevel"/>
    <w:lvl w:ilvl="0">
      <w:lvlJc w:val="left"/>
      <w:lvlText w:val="%1."/>
      <w:numFmt w:val="decimal"/>
      <w:start w:val="4"/>
    </w:lvl>
  </w:abstractNum>
  <w:abstractNum w:abstractNumId="13">
    <w:nsid w:val="51EAD36B"/>
    <w:multiLevelType w:val="hybridMultilevel"/>
    <w:lvl w:ilvl="0">
      <w:lvlJc w:val="left"/>
      <w:lvlText w:val="%1."/>
      <w:numFmt w:val="decimal"/>
      <w:start w:val="5"/>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6"/>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2"/>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Roman"/>
      <w:start w:val="1"/>
    </w:lvl>
  </w:abstractNum>
  <w:abstractNum w:abstractNumId="34">
    <w:nsid w:val="749ABB43"/>
    <w:multiLevelType w:val="hybridMultilevel"/>
    <w:lvl w:ilvl="0">
      <w:lvlJc w:val="left"/>
      <w:lvlText w:val="(%1)"/>
      <w:numFmt w:val="lowerRoman"/>
      <w:start w:val="3"/>
    </w:lvl>
  </w:abstractNum>
  <w:abstractNum w:abstractNumId="35">
    <w:nsid w:val="3DC240FB"/>
    <w:multiLevelType w:val="hybridMultilevel"/>
    <w:lvl w:ilvl="0">
      <w:lvlJc w:val="left"/>
      <w:lvlText w:val="(%1)"/>
      <w:numFmt w:val="lowerLetter"/>
      <w:start w:val="3"/>
    </w:lvl>
  </w:abstractNum>
  <w:abstractNum w:abstractNumId="36">
    <w:nsid w:val="1BA026FA"/>
    <w:multiLevelType w:val="hybridMultilevel"/>
    <w:lvl w:ilvl="0">
      <w:lvlJc w:val="left"/>
      <w:lvlText w:val="%1"/>
      <w:numFmt w:val="lowerLetter"/>
      <w:start w:val="1"/>
    </w:lvl>
    <w:lvl w:ilvl="1">
      <w:lvlJc w:val="left"/>
      <w:lvlText w:val="(%2)"/>
      <w:numFmt w:val="lowerLetter"/>
      <w:start w:val="6"/>
    </w:lvl>
  </w:abstractNum>
  <w:abstractNum w:abstractNumId="37">
    <w:nsid w:val="79A1DEAA"/>
    <w:multiLevelType w:val="hybridMultilevel"/>
    <w:lvl w:ilvl="0">
      <w:lvlJc w:val="left"/>
      <w:lvlText w:val="(%1)"/>
      <w:numFmt w:val="lowerLetter"/>
      <w:start w:val="22"/>
    </w:lvl>
    <w:lvl w:ilvl="1">
      <w:lvlJc w:val="left"/>
      <w:lvlText w:val="%2"/>
      <w:numFmt w:val="lowerLetter"/>
      <w:start w:val="1"/>
    </w:lvl>
  </w:abstractNum>
  <w:abstractNum w:abstractNumId="38">
    <w:nsid w:val="75C6C33A"/>
    <w:multiLevelType w:val="hybridMultilevel"/>
    <w:lvl w:ilvl="0">
      <w:lvlJc w:val="left"/>
      <w:lvlText w:val="[•]"/>
      <w:numFmt w:val="bullet"/>
      <w:start w:val="1"/>
    </w:lvl>
    <w:lvl w:ilvl="1">
      <w:lvlJc w:val="left"/>
      <w:lvlText w:val="(%2)"/>
      <w:numFmt w:val="lowerLetter"/>
      <w:start w:val="1"/>
    </w:lvl>
  </w:abstractNum>
  <w:abstractNum w:abstractNumId="39">
    <w:nsid w:val="12E685FB"/>
    <w:multiLevelType w:val="hybridMultilevel"/>
    <w:lvl w:ilvl="0">
      <w:lvlJc w:val="left"/>
      <w:lvlText w:val="%1"/>
      <w:numFmt w:val="lowerLetter"/>
      <w:start w:val="1"/>
    </w:lvl>
    <w:lvl w:ilvl="1">
      <w:lvlJc w:val="left"/>
      <w:lvlText w:val="(%2)"/>
      <w:numFmt w:val="lowerLetter"/>
      <w:start w:val="2"/>
    </w:lvl>
  </w:abstractNum>
  <w:abstractNum w:abstractNumId="40">
    <w:nsid w:val="70C6A529"/>
    <w:multiLevelType w:val="hybridMultilevel"/>
    <w:lvl w:ilvl="0">
      <w:lvlJc w:val="left"/>
      <w:lvlText w:val="(%1)"/>
      <w:numFmt w:val="lowerLetter"/>
      <w:start w:val="9"/>
    </w:lvl>
    <w:lvl w:ilvl="1">
      <w:lvlJc w:val="left"/>
      <w:lvlText w:val="%2"/>
      <w:numFmt w:val="lowerLetter"/>
      <w:start w:val="1"/>
    </w:lvl>
  </w:abstractNum>
  <w:abstractNum w:abstractNumId="41">
    <w:nsid w:val="520EEDD1"/>
    <w:multiLevelType w:val="hybridMultilevel"/>
    <w:lvl w:ilvl="0">
      <w:lvlJc w:val="left"/>
      <w:lvlText w:val="(%1)"/>
      <w:numFmt w:val="lowerLetter"/>
      <w:start w:val="4"/>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2"/>
    </w:lvl>
  </w:abstractNum>
  <w:abstractNum w:abstractNumId="44">
    <w:nsid w:val="23F9C13C"/>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9"/>
    </w:lvl>
  </w:abstractNum>
  <w:abstractNum w:abstractNumId="45">
    <w:nsid w:val="649BB77C"/>
    <w:multiLevelType w:val="hybridMultilevel"/>
    <w:lvl w:ilvl="0">
      <w:lvlJc w:val="left"/>
      <w:lvlText w:val="(%1)"/>
      <w:numFmt w:val="lowerRoman"/>
      <w:start w:val="2"/>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1"/>
    </w:lvl>
    <w:lvl w:ilvl="1">
      <w:lvlJc w:val="left"/>
      <w:lvlText w:val="(%2)"/>
      <w:numFmt w:val="lowerLetter"/>
      <w:start w:val="1"/>
    </w:lvl>
  </w:abstractNum>
  <w:abstractNum w:abstractNumId="48">
    <w:nsid w:val="1CF10FD8"/>
    <w:multiLevelType w:val="hybridMultilevel"/>
    <w:lvl w:ilvl="0">
      <w:lvlJc w:val="left"/>
      <w:lvlText w:val="(%1)"/>
      <w:numFmt w:val="lowerLetter"/>
      <w:start w:val="35"/>
    </w:lvl>
    <w:lvl w:ilvl="1">
      <w:lvlJc w:val="left"/>
      <w:lvlText w:val="(%2)"/>
      <w:numFmt w:val="lowerLetter"/>
      <w:start w:val="3"/>
    </w:lvl>
  </w:abstractNum>
  <w:abstractNum w:abstractNumId="49">
    <w:nsid w:val="180115BE"/>
    <w:multiLevelType w:val="hybridMultilevel"/>
    <w:lvl w:ilvl="0">
      <w:lvlJc w:val="left"/>
      <w:lvlText w:val="(%1)"/>
      <w:numFmt w:val="lowerLetter"/>
      <w:start w:val="4"/>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4"/>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3"/>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1"/>
    </w:lvl>
    <w:lvl w:ilvl="1">
      <w:lvlJc w:val="left"/>
      <w:lvlText w:val="(%2)"/>
      <w:numFmt w:val="lowerLetter"/>
      <w:start w:val="3"/>
    </w:lvl>
  </w:abstractNum>
  <w:abstractNum w:abstractNumId="57">
    <w:nsid w:val="3F6AB60F"/>
    <w:multiLevelType w:val="hybridMultilevel"/>
    <w:lvl w:ilvl="0">
      <w:lvlJc w:val="left"/>
      <w:lvlText w:val="(%1)"/>
      <w:numFmt w:val="lowerLetter"/>
      <w:start w:val="4"/>
    </w:lvl>
    <w:lvl w:ilvl="1">
      <w:lvlJc w:val="left"/>
      <w:lvlText w:val="%2"/>
      <w:numFmt w:val="lowerLetter"/>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Roman"/>
      <w:start w:val="1"/>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lowerLetter"/>
      <w:start w:val="3"/>
    </w:lvl>
  </w:abstractNum>
  <w:abstractNum w:abstractNumId="63">
    <w:nsid w:val="5FF87E05"/>
    <w:multiLevelType w:val="hybridMultilevel"/>
    <w:lvl w:ilvl="0">
      <w:lvlJc w:val="left"/>
      <w:lvlText w:val="%1"/>
      <w:numFmt w:val="lowerLetter"/>
      <w:start w:val="1"/>
    </w:lvl>
    <w:lvl w:ilvl="1">
      <w:lvlJc w:val="left"/>
      <w:lvlText w:val="(%2)"/>
      <w:numFmt w:val="lowerLetter"/>
      <w:start w:val="5"/>
    </w:lvl>
  </w:abstractNum>
  <w:abstractNum w:abstractNumId="64">
    <w:nsid w:val="2F305DEF"/>
    <w:multiLevelType w:val="hybridMultilevel"/>
    <w:lvl w:ilvl="0">
      <w:lvlJc w:val="left"/>
      <w:lvlText w:val="(%1)"/>
      <w:numFmt w:val="low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2019-12-06T22:36:44Z</dcterms:created>
  <dcterms:modified xsi:type="dcterms:W3CDTF">2019-12-06T22:36:44Z</dcterms:modified>
</cp:coreProperties>
</file>