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20" w:type="dxa"/>
            <w:vAlign w:val="bottom"/>
            <w:gridSpan w:val="2"/>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Patel Kinnari</w:t>
              </w:r>
            </w:hyperlink>
          </w:p>
        </w:tc>
        <w:tc>
          <w:tcPr>
            <w:tcW w:w="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ROCKET 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RCKT </w:t>
            </w:r>
            <w:r>
              <w:rPr>
                <w:rFonts w:ascii="Times New Roman" w:cs="Times New Roman" w:eastAsia="Times New Roman" w:hAnsi="Times New Roman"/>
                <w:sz w:val="21"/>
                <w:szCs w:val="21"/>
                <w:color w:val="000000"/>
              </w:rPr>
              <w:t>]</w:t>
            </w:r>
          </w:p>
        </w:tc>
        <w:tc>
          <w:tcPr>
            <w:tcW w:w="3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tcBorders>
              <w:top w:val="single" w:sz="8" w:color="0000EE"/>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color w:val="auto"/>
              </w:rPr>
              <w:t>(Last)</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auto"/>
              </w:rPr>
              <w:t>(First)</w:t>
            </w:r>
          </w:p>
        </w:tc>
        <w:tc>
          <w:tcPr>
            <w:tcW w:w="1700" w:type="dxa"/>
            <w:vAlign w:val="bottom"/>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5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C/O ROCKET PHARMACEUTICALS,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800" w:type="dxa"/>
            <w:vAlign w:val="bottom"/>
            <w:gridSpan w:val="4"/>
            <w:vMerge w:val="continue"/>
          </w:tcPr>
          <w:p>
            <w:pPr>
              <w:spacing w:after="0"/>
              <w:rPr>
                <w:sz w:val="19"/>
                <w:szCs w:val="19"/>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12/06/2018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350 FIFTH AVENUE, SUITE 7530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0"/>
          <w:szCs w:val="20"/>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0000FF"/>
        </w:rPr>
        <w:t>Chief Operating Officer</w:t>
      </w:r>
    </w:p>
    <w:p>
      <w:pPr>
        <w:spacing w:after="0" w:line="406" w:lineRule="exact"/>
        <w:rPr>
          <w:sz w:val="20"/>
          <w:szCs w:val="20"/>
          <w:color w:val="auto"/>
        </w:rPr>
      </w:pPr>
    </w:p>
    <w:p>
      <w:pPr>
        <w:sectPr>
          <w:pgSz w:w="11900" w:h="16838" w:orient="portrait"/>
          <w:cols w:equalWidth="0" w:num="2">
            <w:col w:w="7980" w:space="77"/>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52"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8"/>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w w:val="92"/>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10118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860" w:type="dxa"/>
            <w:vAlign w:val="bottom"/>
            <w:tcBorders>
              <w:top w:val="single" w:sz="8" w:color="2C2C2C"/>
            </w:tcBorders>
            <w:gridSpan w:val="14"/>
          </w:tcPr>
          <w:p>
            <w:pPr>
              <w:jc w:val="center"/>
              <w:ind w:left="1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3"/>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0000FF"/>
              </w:rPr>
              <w:t>12/06/2018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9"/>
              <w:spacing w:after="0"/>
              <w:rPr>
                <w:sz w:val="20"/>
                <w:szCs w:val="20"/>
                <w:color w:val="auto"/>
              </w:rPr>
            </w:pPr>
            <w:r>
              <w:rPr>
                <w:rFonts w:ascii="Times New Roman" w:cs="Times New Roman" w:eastAsia="Times New Roman" w:hAnsi="Times New Roman"/>
                <w:sz w:val="14"/>
                <w:szCs w:val="14"/>
                <w:color w:val="0000FF"/>
              </w:rPr>
              <w:t>P</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5,675</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14.98</w:t>
            </w:r>
          </w:p>
        </w:tc>
        <w:tc>
          <w:tcPr>
            <w:tcW w:w="1320" w:type="dxa"/>
            <w:vAlign w:val="bottom"/>
            <w:gridSpan w:val="3"/>
          </w:tcPr>
          <w:p>
            <w:pPr>
              <w:jc w:val="right"/>
              <w:ind w:right="399"/>
              <w:spacing w:after="0"/>
              <w:rPr>
                <w:sz w:val="20"/>
                <w:szCs w:val="20"/>
                <w:color w:val="auto"/>
              </w:rPr>
            </w:pPr>
            <w:r>
              <w:rPr>
                <w:rFonts w:ascii="Times New Roman" w:cs="Times New Roman" w:eastAsia="Times New Roman" w:hAnsi="Times New Roman"/>
                <w:sz w:val="18"/>
                <w:szCs w:val="18"/>
                <w:color w:val="0000FF"/>
              </w:rPr>
              <w:t>5,675</w:t>
            </w:r>
          </w:p>
        </w:tc>
        <w:tc>
          <w:tcPr>
            <w:tcW w:w="32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 spouse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0000FF"/>
                <w:w w:val="85"/>
              </w:rPr>
              <w:t>By</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8"/>
                <w:szCs w:val="18"/>
                <w:color w:val="0000FF"/>
              </w:rPr>
              <w:t>94,927</w:t>
            </w:r>
          </w:p>
        </w:tc>
        <w:tc>
          <w:tcPr>
            <w:tcW w:w="320" w:type="dxa"/>
            <w:vAlign w:val="bottom"/>
          </w:tcPr>
          <w:p>
            <w:pPr>
              <w:spacing w:after="0"/>
              <w:rPr>
                <w:sz w:val="18"/>
                <w:szCs w:val="18"/>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Adaptive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Technology,</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8"/>
                <w:szCs w:val="18"/>
                <w:color w:val="0000FF"/>
              </w:rPr>
              <w:t>LLC</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7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008000"/>
        </w:rPr>
        <w:t>1. The shares are held indirectly through Adaptive Technology, LLC, a limited liability company that is owned and managed by the reporting person's husband.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24 - Power of Attorney</w:t>
      </w:r>
    </w:p>
    <w:p>
      <w:pPr>
        <w:spacing w:after="0" w:line="6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0000FF"/>
        </w:rPr>
        <w:t>/s/ Sara Turken,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379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fact for Kinnari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442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4245" cy="8890"/>
                    </a:xfrm>
                    <a:prstGeom prst="rect">
                      <a:avLst/>
                    </a:prstGeom>
                    <a:noFill/>
                  </pic:spPr>
                </pic:pic>
              </a:graphicData>
            </a:graphic>
          </wp:anchor>
        </w:drawing>
      </w:r>
    </w:p>
    <w:p>
      <w:pPr>
        <w:spacing w:after="0" w:line="28"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40" w:space="12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7, 2018</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Sara Turken as the undersigned's true and lawful attorney-in-fact to:</w:t>
      </w:r>
    </w:p>
    <w:p>
      <w:pPr>
        <w:spacing w:after="0" w:line="252" w:lineRule="exact"/>
        <w:rPr>
          <w:sz w:val="20"/>
          <w:szCs w:val="20"/>
          <w:color w:val="auto"/>
        </w:rPr>
      </w:pPr>
    </w:p>
    <w:p>
      <w:pPr>
        <w:jc w:val="both"/>
        <w:ind w:left="840" w:hanging="508"/>
        <w:spacing w:after="0" w:line="261"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in the undersigned’s name and on the undersigned’s behalf, and submit to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 Form ID, including amendments thereto, and any other documents necessary or appropriate to obtain codes, passwords, and passphrases enabling the undersigned to make electronic filings with the SEC of reports required by the Securities Exchange Act of 1934 or any rule or regulation of the SEC;</w:t>
      </w:r>
    </w:p>
    <w:p>
      <w:pPr>
        <w:spacing w:after="0" w:line="207" w:lineRule="exact"/>
        <w:rPr>
          <w:rFonts w:ascii="Times New Roman" w:cs="Times New Roman" w:eastAsia="Times New Roman" w:hAnsi="Times New Roman"/>
          <w:sz w:val="18"/>
          <w:szCs w:val="18"/>
          <w:color w:val="auto"/>
        </w:rPr>
      </w:pPr>
    </w:p>
    <w:p>
      <w:pPr>
        <w:ind w:left="840" w:hanging="508"/>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 director of Rocket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Forms 3, 4, and 5 in accordance with Section 16(a) of the Securities Exchange Act of 1934 and the rules thereunder;</w:t>
      </w:r>
    </w:p>
    <w:p>
      <w:pPr>
        <w:spacing w:after="0" w:line="188" w:lineRule="exact"/>
        <w:rPr>
          <w:rFonts w:ascii="Times New Roman" w:cs="Times New Roman" w:eastAsia="Times New Roman" w:hAnsi="Times New Roman"/>
          <w:sz w:val="18"/>
          <w:szCs w:val="18"/>
          <w:color w:val="auto"/>
        </w:rPr>
      </w:pPr>
    </w:p>
    <w:p>
      <w:pPr>
        <w:jc w:val="both"/>
        <w:ind w:left="840" w:hanging="508"/>
        <w:spacing w:after="0" w:line="266"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securities exchange or similar authority; and</w:t>
      </w:r>
    </w:p>
    <w:p>
      <w:pPr>
        <w:spacing w:after="0" w:line="203" w:lineRule="exact"/>
        <w:rPr>
          <w:rFonts w:ascii="Times New Roman" w:cs="Times New Roman" w:eastAsia="Times New Roman" w:hAnsi="Times New Roman"/>
          <w:sz w:val="18"/>
          <w:szCs w:val="18"/>
          <w:color w:val="auto"/>
        </w:rPr>
      </w:pPr>
    </w:p>
    <w:p>
      <w:pPr>
        <w:jc w:val="both"/>
        <w:ind w:left="840" w:hanging="508"/>
        <w:spacing w:after="0" w:line="261"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also ratifies hereby any action previously taken by the attorney-in-fact that would have been authorized by this power of attorney if it has been in effect at the time such action was taken.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the date first written above.</w:t>
      </w:r>
    </w:p>
    <w:p>
      <w:pPr>
        <w:sectPr>
          <w:pgSz w:w="11900" w:h="16838" w:orient="portrait"/>
          <w:cols w:equalWidth="0" w:num="1">
            <w:col w:w="9559"/>
          </w:cols>
          <w:pgMar w:left="900" w:top="121" w:right="1440" w:bottom="1440" w:gutter="0" w:footer="0" w:header="0"/>
        </w:sectPr>
      </w:pPr>
    </w:p>
    <w:p>
      <w:pPr>
        <w:spacing w:after="0" w:line="26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Kinnari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26035</wp:posOffset>
            </wp:positionV>
            <wp:extent cx="1809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Kinnari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394970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559"/>
      </w:cols>
      <w:pgMar w:left="900" w:top="1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725929" TargetMode="External"/><Relationship Id="rId13" Type="http://schemas.openxmlformats.org/officeDocument/2006/relationships/hyperlink" Target="http://www.sec.gov/cgi-bin/browse-edgar?action=getcompany&amp;CIK=00012818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2019-12-23T21:50:49Z</dcterms:created>
  <dcterms:modified xsi:type="dcterms:W3CDTF">2019-12-23T21:50:49Z</dcterms:modified>
</cp:coreProperties>
</file>