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0001662170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Militello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1252</w:t>
            </w:r>
          </w:p>
        </w:tc>
        <w:tc>
          <w:tcPr>
            <w:tcW w:w="1377" w:type="dxa"/>
            <w:tcBorders/>
            <w:vAlign w:val="center"/>
          </w:tcPr>
          <w:p>
            <w:pPr>
              <w:pStyle w:val="TableContents"/>
              <w:bidi w:val="0"/>
              <w:spacing w:before="0" w:after="283"/>
              <w:jc w:val="left"/>
              <w:rPr/>
            </w:pPr>
            <w:r>
              <w:rPr/>
              <w:t>4233.51</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887</w:t>
            </w:r>
          </w:p>
        </w:tc>
        <w:tc>
          <w:tcPr>
            <w:tcW w:w="1046" w:type="dxa"/>
            <w:tcBorders/>
            <w:vAlign w:val="center"/>
          </w:tcPr>
          <w:p>
            <w:pPr>
              <w:pStyle w:val="TableContents"/>
              <w:bidi w:val="0"/>
              <w:spacing w:before="0" w:after="283"/>
              <w:jc w:val="left"/>
              <w:rPr/>
            </w:pPr>
            <w:r>
              <w:rPr/>
              <w:t>08/11/2026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365</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John Militello</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05/19/2026</w:t>
            </w:r>
          </w:p>
        </w:tc>
        <w:tc>
          <w:tcPr>
            <w:tcW w:w="1563" w:type="dxa"/>
            <w:tcBorders/>
            <w:vAlign w:val="center"/>
          </w:tcPr>
          <w:p>
            <w:pPr>
              <w:pStyle w:val="TableContents"/>
              <w:bidi w:val="0"/>
              <w:spacing w:before="0" w:after="283"/>
              <w:jc w:val="left"/>
              <w:rPr/>
            </w:pPr>
            <w:r>
              <w:rPr/>
              <w:t>384</w:t>
            </w:r>
          </w:p>
        </w:tc>
        <w:tc>
          <w:tcPr>
            <w:tcW w:w="1687" w:type="dxa"/>
            <w:tcBorders/>
            <w:vAlign w:val="center"/>
          </w:tcPr>
          <w:p>
            <w:pPr>
              <w:pStyle w:val="TableContents"/>
              <w:bidi w:val="0"/>
              <w:spacing w:before="0" w:after="283"/>
              <w:jc w:val="left"/>
              <w:rPr/>
            </w:pPr>
            <w:r>
              <w:rPr/>
              <w:t>1157.53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Joshua Schmitt, as a duly authorized representative of Fidelity Brokerage Services LLC, as attorney-in-fact for John Militello.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3317</Characters>
  <CharactersWithSpaces>3894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